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24147" w14:textId="43690AAE" w:rsidR="00E83F4A" w:rsidRDefault="00E83F4A" w:rsidP="00E83F4A">
      <w:pPr>
        <w:pStyle w:val="3GPPHeader"/>
        <w:spacing w:after="60"/>
        <w:rPr>
          <w:sz w:val="32"/>
          <w:szCs w:val="32"/>
          <w:highlight w:val="yellow"/>
        </w:rPr>
      </w:pPr>
      <w:bookmarkStart w:id="0" w:name="_Hlk47544285"/>
      <w:bookmarkStart w:id="1" w:name="_GoBack"/>
      <w:bookmarkEnd w:id="1"/>
      <w:r>
        <w:t>3GPP TSG-RAN WG2 #111e</w:t>
      </w:r>
      <w:r>
        <w:tab/>
      </w:r>
      <w:r>
        <w:rPr>
          <w:sz w:val="32"/>
          <w:szCs w:val="32"/>
        </w:rPr>
        <w:t xml:space="preserve">Tdoc </w:t>
      </w:r>
      <w:r w:rsidR="000E7FF9" w:rsidRPr="000E7FF9">
        <w:rPr>
          <w:sz w:val="32"/>
          <w:szCs w:val="32"/>
        </w:rPr>
        <w:t>R2-2007660</w:t>
      </w:r>
    </w:p>
    <w:p w14:paraId="5F2EFA30" w14:textId="77777777" w:rsidR="00E83F4A" w:rsidRDefault="00E83F4A" w:rsidP="00E83F4A">
      <w:pPr>
        <w:pStyle w:val="3GPPHeader"/>
      </w:pPr>
      <w:bookmarkStart w:id="2" w:name="_Hlk47544310"/>
      <w:r>
        <w:t>Electronic meeting, August 17</w:t>
      </w:r>
      <w:r>
        <w:rPr>
          <w:vertAlign w:val="superscript"/>
        </w:rPr>
        <w:t>th</w:t>
      </w:r>
      <w:r>
        <w:t xml:space="preserve"> – 28</w:t>
      </w:r>
      <w:r>
        <w:rPr>
          <w:vertAlign w:val="superscript"/>
        </w:rPr>
        <w:t>th</w:t>
      </w:r>
      <w:r>
        <w:t xml:space="preserve"> 2020</w:t>
      </w:r>
      <w:bookmarkEnd w:id="0"/>
      <w:bookmarkEnd w:id="2"/>
    </w:p>
    <w:p w14:paraId="501AAEC3" w14:textId="77777777" w:rsidR="00E90E49" w:rsidRPr="00CE0424" w:rsidRDefault="00E90E49" w:rsidP="00357380">
      <w:pPr>
        <w:pStyle w:val="3GPPHeader"/>
      </w:pPr>
    </w:p>
    <w:p w14:paraId="2AAF3D11" w14:textId="59BB0DDE"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Pr>
          <w:sz w:val="22"/>
          <w:szCs w:val="22"/>
          <w:lang w:val="en-US"/>
        </w:rPr>
        <w:t>8.4.</w:t>
      </w:r>
      <w:r w:rsidR="00E832A2">
        <w:rPr>
          <w:sz w:val="22"/>
          <w:szCs w:val="22"/>
          <w:lang w:val="en-US"/>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F0D6297" w:rsidR="00E90E49" w:rsidRPr="00CE0424" w:rsidRDefault="003D3C45" w:rsidP="00311702">
      <w:pPr>
        <w:pStyle w:val="3GPPHeader"/>
        <w:rPr>
          <w:sz w:val="22"/>
          <w:szCs w:val="22"/>
        </w:rPr>
      </w:pPr>
      <w:r>
        <w:rPr>
          <w:sz w:val="22"/>
          <w:szCs w:val="22"/>
        </w:rPr>
        <w:t>Title:</w:t>
      </w:r>
      <w:r w:rsidR="00E90E49" w:rsidRPr="00CE0424">
        <w:rPr>
          <w:sz w:val="22"/>
          <w:szCs w:val="22"/>
        </w:rPr>
        <w:tab/>
      </w:r>
      <w:r w:rsidR="003A63C8">
        <w:rPr>
          <w:sz w:val="22"/>
          <w:szCs w:val="22"/>
        </w:rPr>
        <w:t>Scenarios of</w:t>
      </w:r>
      <w:r w:rsidR="002C2D96">
        <w:rPr>
          <w:sz w:val="22"/>
          <w:szCs w:val="22"/>
        </w:rPr>
        <w:t xml:space="preserve"> topology adaptation</w:t>
      </w:r>
      <w:r w:rsidR="00092C11">
        <w:rPr>
          <w:sz w:val="22"/>
          <w:szCs w:val="22"/>
        </w:rPr>
        <w:t xml:space="preserve"> for IAB network</w:t>
      </w:r>
    </w:p>
    <w:p w14:paraId="2C970792" w14:textId="77777777" w:rsidR="00E90E49" w:rsidRPr="00D9338D" w:rsidRDefault="00E90E49" w:rsidP="00D546FF">
      <w:pPr>
        <w:pStyle w:val="3GPPHeader"/>
        <w:rPr>
          <w:sz w:val="22"/>
          <w:szCs w:val="22"/>
        </w:rPr>
      </w:pPr>
      <w:r w:rsidRPr="00D9338D">
        <w:rPr>
          <w:sz w:val="22"/>
          <w:szCs w:val="22"/>
        </w:rPr>
        <w:t>Document for:</w:t>
      </w:r>
      <w:r w:rsidRPr="00D9338D">
        <w:rPr>
          <w:sz w:val="22"/>
          <w:szCs w:val="22"/>
        </w:rPr>
        <w:tab/>
      </w:r>
      <w:r w:rsidRPr="007C043A">
        <w:rPr>
          <w:sz w:val="22"/>
          <w:szCs w:val="22"/>
        </w:rPr>
        <w:t>Discussion, Decision</w:t>
      </w:r>
    </w:p>
    <w:p w14:paraId="390A408F" w14:textId="77777777" w:rsidR="00E90E49" w:rsidRPr="00CE0424" w:rsidRDefault="00E90E49" w:rsidP="00E90E49"/>
    <w:p w14:paraId="595B8397" w14:textId="77777777" w:rsidR="00E90E49" w:rsidRPr="00846488" w:rsidRDefault="00230D18" w:rsidP="00CE0424">
      <w:pPr>
        <w:pStyle w:val="Heading1"/>
        <w:rPr>
          <w:rFonts w:asciiTheme="minorHAnsi" w:hAnsiTheme="minorHAnsi" w:cstheme="minorHAnsi"/>
        </w:rPr>
      </w:pPr>
      <w:r w:rsidRPr="00846488">
        <w:rPr>
          <w:rFonts w:asciiTheme="minorHAnsi" w:hAnsiTheme="minorHAnsi" w:cstheme="minorHAnsi"/>
        </w:rPr>
        <w:t>1</w:t>
      </w:r>
      <w:r w:rsidRPr="007C043A">
        <w:rPr>
          <w:rFonts w:cs="Arial"/>
        </w:rPr>
        <w:tab/>
      </w:r>
      <w:r w:rsidR="00E90E49" w:rsidRPr="007C043A">
        <w:rPr>
          <w:rFonts w:cs="Arial"/>
          <w:sz w:val="40"/>
          <w:szCs w:val="22"/>
        </w:rPr>
        <w:t>Introduction</w:t>
      </w:r>
    </w:p>
    <w:p w14:paraId="73AF9ED1" w14:textId="4EDB5D60" w:rsidR="000B5C6E" w:rsidRPr="00104E78" w:rsidRDefault="00C96AF6" w:rsidP="00104E78">
      <w:pPr>
        <w:rPr>
          <w:rFonts w:ascii="Arial" w:hAnsi="Arial" w:cs="Arial"/>
        </w:rPr>
      </w:pPr>
      <w:r w:rsidRPr="00104E78">
        <w:rPr>
          <w:rFonts w:ascii="Arial" w:hAnsi="Arial" w:cs="Arial"/>
        </w:rPr>
        <w:t>T</w:t>
      </w:r>
      <w:r w:rsidR="00D02615" w:rsidRPr="00104E78">
        <w:rPr>
          <w:rFonts w:ascii="Arial" w:hAnsi="Arial" w:cs="Arial"/>
        </w:rPr>
        <w:t xml:space="preserve">his paper </w:t>
      </w:r>
      <w:r w:rsidR="006F5DD8" w:rsidRPr="00104E78">
        <w:rPr>
          <w:rFonts w:ascii="Arial" w:hAnsi="Arial" w:cs="Arial"/>
        </w:rPr>
        <w:t>provides</w:t>
      </w:r>
      <w:r w:rsidR="008E4257">
        <w:rPr>
          <w:rFonts w:ascii="Arial" w:hAnsi="Arial" w:cs="Arial"/>
        </w:rPr>
        <w:t xml:space="preserve"> insights on what challenges need to be solved for topology adaptation</w:t>
      </w:r>
      <w:r w:rsidR="00CD73A4">
        <w:rPr>
          <w:rFonts w:ascii="Arial" w:hAnsi="Arial" w:cs="Arial"/>
        </w:rPr>
        <w:t xml:space="preserve"> in </w:t>
      </w:r>
      <w:r w:rsidR="00AC2097">
        <w:rPr>
          <w:rFonts w:ascii="Arial" w:hAnsi="Arial" w:cs="Arial"/>
        </w:rPr>
        <w:t xml:space="preserve">IAB </w:t>
      </w:r>
      <w:r w:rsidR="00CD73A4">
        <w:rPr>
          <w:rFonts w:ascii="Arial" w:hAnsi="Arial" w:cs="Arial"/>
        </w:rPr>
        <w:t>Rel-17 WI</w:t>
      </w:r>
      <w:r w:rsidR="00366246" w:rsidRPr="00104E78">
        <w:rPr>
          <w:rFonts w:ascii="Arial" w:hAnsi="Arial" w:cs="Arial"/>
        </w:rPr>
        <w:t>.</w:t>
      </w:r>
    </w:p>
    <w:p w14:paraId="79E6BA90" w14:textId="6DDE2A75" w:rsidR="00D3233E" w:rsidRDefault="00230D18" w:rsidP="00BE115B">
      <w:pPr>
        <w:pStyle w:val="Heading1"/>
        <w:rPr>
          <w:rFonts w:asciiTheme="minorHAnsi" w:hAnsiTheme="minorHAnsi" w:cstheme="minorHAnsi"/>
          <w:sz w:val="40"/>
          <w:szCs w:val="22"/>
        </w:rPr>
      </w:pPr>
      <w:bookmarkStart w:id="3" w:name="_Ref178064866"/>
      <w:r>
        <w:t>2</w:t>
      </w:r>
      <w:r w:rsidRPr="007C043A">
        <w:rPr>
          <w:rFonts w:cs="Arial"/>
          <w:sz w:val="40"/>
          <w:szCs w:val="22"/>
        </w:rPr>
        <w:tab/>
      </w:r>
      <w:r w:rsidR="004000E8" w:rsidRPr="007C043A">
        <w:rPr>
          <w:rFonts w:cs="Arial"/>
          <w:sz w:val="40"/>
          <w:szCs w:val="22"/>
        </w:rPr>
        <w:t>Discussion</w:t>
      </w:r>
      <w:bookmarkEnd w:id="3"/>
    </w:p>
    <w:p w14:paraId="536F8449" w14:textId="41DD9243" w:rsidR="009F4D4E" w:rsidRPr="00763AB1" w:rsidRDefault="00C4040B" w:rsidP="00225298">
      <w:pPr>
        <w:jc w:val="both"/>
        <w:rPr>
          <w:rFonts w:ascii="Arial" w:hAnsi="Arial" w:cs="Arial"/>
        </w:rPr>
      </w:pPr>
      <w:r>
        <w:rPr>
          <w:rFonts w:ascii="Arial" w:hAnsi="Arial" w:cs="Arial"/>
        </w:rPr>
        <w:t>In our view,</w:t>
      </w:r>
      <w:r w:rsidR="009F4D4E" w:rsidRPr="00763AB1">
        <w:rPr>
          <w:rFonts w:ascii="Arial" w:hAnsi="Arial" w:cs="Arial"/>
        </w:rPr>
        <w:t xml:space="preserve"> topology adaptation and mobility are two different concepts, where IAB node mobility is excluded from Rel-17 WI. There are at least two main differences between mobility and topology adaptation. </w:t>
      </w:r>
      <w:r w:rsidR="00B84C4F">
        <w:rPr>
          <w:rFonts w:ascii="Arial" w:hAnsi="Arial" w:cs="Arial"/>
        </w:rPr>
        <w:t>Firstly</w:t>
      </w:r>
      <w:r w:rsidR="009F4D4E" w:rsidRPr="00763AB1">
        <w:rPr>
          <w:rFonts w:ascii="Arial" w:hAnsi="Arial" w:cs="Arial"/>
        </w:rPr>
        <w:t>, in mobility</w:t>
      </w:r>
      <w:r w:rsidR="001355F1">
        <w:rPr>
          <w:rFonts w:ascii="Arial" w:hAnsi="Arial" w:cs="Arial"/>
        </w:rPr>
        <w:t>,</w:t>
      </w:r>
      <w:r w:rsidR="009F4D4E" w:rsidRPr="00763AB1">
        <w:rPr>
          <w:rFonts w:ascii="Arial" w:hAnsi="Arial" w:cs="Arial"/>
        </w:rPr>
        <w:t xml:space="preserve"> the reconfiguration procedure for handover is time-sensitive</w:t>
      </w:r>
      <w:r w:rsidR="00147583">
        <w:rPr>
          <w:rFonts w:ascii="Arial" w:hAnsi="Arial" w:cs="Arial"/>
        </w:rPr>
        <w:t>,</w:t>
      </w:r>
      <w:r w:rsidR="009F4D4E" w:rsidRPr="00763AB1">
        <w:rPr>
          <w:rFonts w:ascii="Arial" w:hAnsi="Arial" w:cs="Arial"/>
        </w:rPr>
        <w:t xml:space="preserve"> which means that if the procedure is not completed fast, the UE could lose the connection to the network. Conversely, for topology adaptation, reconfigurations are not time-critical. Topology adaptation should be commonly seen/used as a mechanism for keeping the network stable by monitoring the network status and then adjusting the topology gradually in a non-time-critical manner. Short-term traffic peaks are not meant to trigger topology adaptations – these occurrences are rather temporary and can be addressed by congestion mitigation mechanisms, for example.</w:t>
      </w:r>
    </w:p>
    <w:p w14:paraId="7832D150" w14:textId="55EEBF42" w:rsidR="009F4D4E" w:rsidRDefault="009F4D4E" w:rsidP="00225298">
      <w:pPr>
        <w:jc w:val="both"/>
        <w:rPr>
          <w:rFonts w:ascii="Arial" w:hAnsi="Arial" w:cs="Arial"/>
        </w:rPr>
      </w:pPr>
      <w:r w:rsidRPr="00763AB1">
        <w:rPr>
          <w:rFonts w:ascii="Arial" w:hAnsi="Arial" w:cs="Arial"/>
        </w:rPr>
        <w:t xml:space="preserve">The second difference between topology adaptation and mobility is that, in mobility, if an inter-donor CU migration is needed, the connection to the first donor CU is typically released after the connection to the second node is established. For topology adaptation, since the goal is to move traffic, the result of a topology adaptation is that a </w:t>
      </w:r>
      <w:r w:rsidR="00FF1687">
        <w:rPr>
          <w:rFonts w:ascii="Arial" w:hAnsi="Arial" w:cs="Arial"/>
        </w:rPr>
        <w:t xml:space="preserve">only </w:t>
      </w:r>
      <w:r w:rsidRPr="00763AB1">
        <w:rPr>
          <w:rFonts w:ascii="Arial" w:hAnsi="Arial" w:cs="Arial"/>
        </w:rPr>
        <w:t xml:space="preserve">fraction of the traffic </w:t>
      </w:r>
      <w:r w:rsidR="00FF1687">
        <w:rPr>
          <w:rFonts w:ascii="Arial" w:hAnsi="Arial" w:cs="Arial"/>
        </w:rPr>
        <w:t>served by a migrating IAB node needs to be</w:t>
      </w:r>
      <w:r w:rsidRPr="00763AB1">
        <w:rPr>
          <w:rFonts w:ascii="Arial" w:hAnsi="Arial" w:cs="Arial"/>
        </w:rPr>
        <w:t xml:space="preserve"> moved, for example, at peak hours. This implies that </w:t>
      </w:r>
      <w:r w:rsidR="00FF1687">
        <w:rPr>
          <w:rFonts w:ascii="Arial" w:hAnsi="Arial" w:cs="Arial"/>
        </w:rPr>
        <w:t xml:space="preserve">a </w:t>
      </w:r>
      <w:r w:rsidRPr="00763AB1">
        <w:rPr>
          <w:rFonts w:ascii="Arial" w:hAnsi="Arial" w:cs="Arial"/>
        </w:rPr>
        <w:t xml:space="preserve">part of the traffic </w:t>
      </w:r>
      <w:r w:rsidR="00FF1687">
        <w:rPr>
          <w:rFonts w:ascii="Arial" w:hAnsi="Arial" w:cs="Arial"/>
        </w:rPr>
        <w:t xml:space="preserve">served by such </w:t>
      </w:r>
      <w:r w:rsidR="005233B7">
        <w:rPr>
          <w:rFonts w:ascii="Arial" w:hAnsi="Arial" w:cs="Arial"/>
        </w:rPr>
        <w:t xml:space="preserve">a </w:t>
      </w:r>
      <w:r w:rsidR="00FF1687">
        <w:rPr>
          <w:rFonts w:ascii="Arial" w:hAnsi="Arial" w:cs="Arial"/>
        </w:rPr>
        <w:t>migrating IAB node</w:t>
      </w:r>
      <w:r w:rsidR="00FF1687" w:rsidRPr="00763AB1">
        <w:rPr>
          <w:rFonts w:ascii="Arial" w:hAnsi="Arial" w:cs="Arial"/>
        </w:rPr>
        <w:t xml:space="preserve"> </w:t>
      </w:r>
      <w:r w:rsidRPr="00763AB1">
        <w:rPr>
          <w:rFonts w:ascii="Arial" w:hAnsi="Arial" w:cs="Arial"/>
        </w:rPr>
        <w:t>will still be carried over the first donor and another part of the traffic over the second donor. Since the network nodes do not move, the reconfigurations will always affect a very limited set of nodes.</w:t>
      </w:r>
    </w:p>
    <w:p w14:paraId="256E634B" w14:textId="5298904D" w:rsidR="00735D52" w:rsidRPr="00763AB1" w:rsidRDefault="00735D52" w:rsidP="00225298">
      <w:pPr>
        <w:jc w:val="both"/>
        <w:rPr>
          <w:rFonts w:ascii="Arial" w:hAnsi="Arial" w:cs="Arial"/>
        </w:rPr>
      </w:pPr>
      <w:r>
        <w:rPr>
          <w:rFonts w:ascii="Arial" w:hAnsi="Arial" w:cs="Arial"/>
        </w:rPr>
        <w:t xml:space="preserve">Hence, we believe that the inter-CU migration should be mainly dictated by load balancing purposes, in which the serving CU may decide to </w:t>
      </w:r>
      <w:r w:rsidR="000E7DFB">
        <w:rPr>
          <w:rFonts w:ascii="Arial" w:hAnsi="Arial" w:cs="Arial"/>
        </w:rPr>
        <w:t xml:space="preserve">offload </w:t>
      </w:r>
      <w:r>
        <w:rPr>
          <w:rFonts w:ascii="Arial" w:hAnsi="Arial" w:cs="Arial"/>
        </w:rPr>
        <w:t xml:space="preserve">some traffic </w:t>
      </w:r>
      <w:r w:rsidR="00192AE7">
        <w:rPr>
          <w:rFonts w:ascii="Arial" w:hAnsi="Arial" w:cs="Arial"/>
        </w:rPr>
        <w:t xml:space="preserve">to </w:t>
      </w:r>
      <w:r>
        <w:rPr>
          <w:rFonts w:ascii="Arial" w:hAnsi="Arial" w:cs="Arial"/>
        </w:rPr>
        <w:t>other less loaded cells served by a different CU.</w:t>
      </w:r>
    </w:p>
    <w:p w14:paraId="299D8EA9" w14:textId="7FFDCB45" w:rsidR="00FF1687" w:rsidRDefault="007924A9" w:rsidP="00FF1687">
      <w:pPr>
        <w:pStyle w:val="Observation"/>
      </w:pPr>
      <w:bookmarkStart w:id="4" w:name="_Toc47646166"/>
      <w:r>
        <w:t>Unlike</w:t>
      </w:r>
      <w:r w:rsidR="00FF1687">
        <w:t xml:space="preserve"> mobility, inter-CU migration (i.e. topology adaptation) is not time-critical.</w:t>
      </w:r>
      <w:bookmarkEnd w:id="4"/>
    </w:p>
    <w:p w14:paraId="6DCF95DB" w14:textId="4B28714B" w:rsidR="00786A5C" w:rsidRDefault="00170A68" w:rsidP="00FF1687">
      <w:pPr>
        <w:pStyle w:val="Observation"/>
      </w:pPr>
      <w:bookmarkStart w:id="5" w:name="_Toc47646167"/>
      <w:r>
        <w:t xml:space="preserve">Topology adaptation </w:t>
      </w:r>
      <w:r w:rsidR="00033D1C">
        <w:t xml:space="preserve">will mainly </w:t>
      </w:r>
      <w:r w:rsidR="00033D1C" w:rsidDel="00BC3540">
        <w:t xml:space="preserve">be </w:t>
      </w:r>
      <w:r w:rsidR="00BC3540">
        <w:t>use</w:t>
      </w:r>
      <w:r w:rsidR="00811BC1">
        <w:t>d</w:t>
      </w:r>
      <w:r w:rsidR="00FF1687" w:rsidRPr="005E4E74">
        <w:t xml:space="preserve"> </w:t>
      </w:r>
      <w:r w:rsidR="00BC3540">
        <w:t xml:space="preserve">for </w:t>
      </w:r>
      <w:r w:rsidR="00FF1687" w:rsidRPr="005E4E74">
        <w:t>load balancing</w:t>
      </w:r>
      <w:r w:rsidR="003844F8">
        <w:t>,</w:t>
      </w:r>
      <w:r w:rsidR="00033D1C">
        <w:t xml:space="preserve"> which </w:t>
      </w:r>
      <w:r w:rsidR="00E86174">
        <w:t>means</w:t>
      </w:r>
      <w:r w:rsidR="00033D1C">
        <w:t xml:space="preserve"> </w:t>
      </w:r>
      <w:r w:rsidR="00FF1687" w:rsidRPr="005E4E74">
        <w:t xml:space="preserve">only a fraction of </w:t>
      </w:r>
      <w:r w:rsidR="00610512">
        <w:t xml:space="preserve">the </w:t>
      </w:r>
      <w:r w:rsidR="00FF1687" w:rsidRPr="005E4E74">
        <w:t xml:space="preserve">traffic will be </w:t>
      </w:r>
      <w:r w:rsidR="00BF3201">
        <w:t>carried by another</w:t>
      </w:r>
      <w:r w:rsidR="00C80769">
        <w:t>/new</w:t>
      </w:r>
      <w:r w:rsidR="00BF3201">
        <w:t xml:space="preserve"> </w:t>
      </w:r>
      <w:r w:rsidR="00B42647">
        <w:t>donor</w:t>
      </w:r>
      <w:r w:rsidR="006F2408">
        <w:t>-</w:t>
      </w:r>
      <w:r w:rsidR="00610512">
        <w:t>node</w:t>
      </w:r>
      <w:r w:rsidR="00033D1C">
        <w:t>.</w:t>
      </w:r>
      <w:bookmarkEnd w:id="5"/>
      <w:r w:rsidR="00033D1C">
        <w:t xml:space="preserve"> </w:t>
      </w:r>
    </w:p>
    <w:p w14:paraId="21123B09" w14:textId="1174EF42" w:rsidR="009F4D4E" w:rsidRDefault="00033D1C" w:rsidP="00FF1687">
      <w:pPr>
        <w:pStyle w:val="Observation"/>
      </w:pPr>
      <w:bookmarkStart w:id="6" w:name="_Toc47646168"/>
      <w:r>
        <w:t>Conse</w:t>
      </w:r>
      <w:r w:rsidR="00C4587C">
        <w:t>q</w:t>
      </w:r>
      <w:r>
        <w:t xml:space="preserve">uently, the </w:t>
      </w:r>
      <w:r w:rsidR="00FF1687" w:rsidRPr="005E4E74">
        <w:t>connection to the first CU</w:t>
      </w:r>
      <w:r>
        <w:t xml:space="preserve"> will typically be maintained even </w:t>
      </w:r>
      <w:r w:rsidR="00783D8C">
        <w:t>after</w:t>
      </w:r>
      <w:r>
        <w:t xml:space="preserve"> </w:t>
      </w:r>
      <w:r w:rsidR="00EA2C0B">
        <w:t>connected</w:t>
      </w:r>
      <w:r w:rsidR="00783D8C">
        <w:t xml:space="preserve"> to </w:t>
      </w:r>
      <w:r w:rsidR="00A6252B">
        <w:t>another</w:t>
      </w:r>
      <w:r>
        <w:t xml:space="preserve"> CU</w:t>
      </w:r>
      <w:r w:rsidR="00FF1687" w:rsidRPr="005E4E74">
        <w:t>.</w:t>
      </w:r>
      <w:bookmarkEnd w:id="6"/>
      <w:r w:rsidR="00FF1687">
        <w:t xml:space="preserve"> </w:t>
      </w:r>
    </w:p>
    <w:p w14:paraId="1963DDF6" w14:textId="29587AC9" w:rsidR="00CE55E9" w:rsidRPr="00CE55E9" w:rsidRDefault="00CE55E9" w:rsidP="00225298">
      <w:pPr>
        <w:jc w:val="both"/>
        <w:rPr>
          <w:rFonts w:ascii="Arial" w:hAnsi="Arial" w:cs="Arial"/>
        </w:rPr>
      </w:pPr>
      <w:r w:rsidRPr="00CE55E9">
        <w:rPr>
          <w:rFonts w:ascii="Arial" w:hAnsi="Arial" w:cs="Arial"/>
        </w:rPr>
        <w:t xml:space="preserve">However, even if in most common cases only a </w:t>
      </w:r>
      <w:r w:rsidR="00114994">
        <w:rPr>
          <w:rFonts w:ascii="Arial" w:hAnsi="Arial" w:cs="Arial"/>
        </w:rPr>
        <w:t>fraction</w:t>
      </w:r>
      <w:r w:rsidR="00114994" w:rsidRPr="00CE55E9">
        <w:rPr>
          <w:rFonts w:ascii="Arial" w:hAnsi="Arial" w:cs="Arial"/>
        </w:rPr>
        <w:t xml:space="preserve"> </w:t>
      </w:r>
      <w:r w:rsidRPr="00CE55E9">
        <w:rPr>
          <w:rFonts w:ascii="Arial" w:hAnsi="Arial" w:cs="Arial"/>
        </w:rPr>
        <w:t>of the overall traffic served by a migrating IAB node needs to be moved, it is important, from a network design point of view, that topology adaptation in IAB networks does not result in a considerable amount of signalling and reconfigurations as this may lead to traffic interruptions, buffering, delays, retransmissions, and, in extreme cases, packet losses. Thus, inter-CU migration (for load balancing) should incur minimum possible signalling or, at the very least, it should be possible to distribute the reconfiguration signalling load over a relatively long period.</w:t>
      </w:r>
    </w:p>
    <w:p w14:paraId="379BF5B3" w14:textId="267A6A3F" w:rsidR="00C023F7" w:rsidRDefault="006F679B" w:rsidP="00C023F7">
      <w:pPr>
        <w:pStyle w:val="Observation"/>
      </w:pPr>
      <w:bookmarkStart w:id="7" w:name="_Toc47646169"/>
      <w:r>
        <w:t>I</w:t>
      </w:r>
      <w:r w:rsidR="00C023F7">
        <w:t xml:space="preserve">nter-CU migration solutions should </w:t>
      </w:r>
      <w:r w:rsidR="00981E11">
        <w:t xml:space="preserve">be transparent as </w:t>
      </w:r>
      <w:r w:rsidR="00CB5FAA">
        <w:t xml:space="preserve">far as </w:t>
      </w:r>
      <w:r w:rsidR="00981E11">
        <w:t xml:space="preserve">possible and should </w:t>
      </w:r>
      <w:r w:rsidR="00C023F7">
        <w:t xml:space="preserve">not </w:t>
      </w:r>
      <w:r w:rsidR="00217801">
        <w:t>incur</w:t>
      </w:r>
      <w:r w:rsidR="00C023F7">
        <w:t xml:space="preserve"> massive simultaneous reconfigurations.</w:t>
      </w:r>
      <w:bookmarkEnd w:id="7"/>
    </w:p>
    <w:p w14:paraId="78354E38" w14:textId="6A6F51D7" w:rsidR="00BF29BE" w:rsidRPr="00ED0DAB" w:rsidRDefault="00BF29BE" w:rsidP="00225298">
      <w:pPr>
        <w:jc w:val="both"/>
        <w:rPr>
          <w:rFonts w:ascii="Arial" w:hAnsi="Arial" w:cs="Arial"/>
        </w:rPr>
      </w:pPr>
      <w:r w:rsidRPr="00ED0DAB">
        <w:rPr>
          <w:rFonts w:ascii="Arial" w:hAnsi="Arial" w:cs="Arial"/>
        </w:rPr>
        <w:lastRenderedPageBreak/>
        <w:t xml:space="preserve">Topology adaptation will also handle error cases such as radio link failures. For wide-area IAB networks, good and robust network planning and deployment should be considered as the primary mechanism to avoid radio link failures. Thus, radio link failures are expected to be very rare events. </w:t>
      </w:r>
      <w:r w:rsidR="003D64B0">
        <w:rPr>
          <w:rFonts w:ascii="Arial" w:hAnsi="Arial" w:cs="Arial"/>
        </w:rPr>
        <w:t>However, i</w:t>
      </w:r>
      <w:r w:rsidRPr="00ED0DAB">
        <w:rPr>
          <w:rFonts w:ascii="Arial" w:hAnsi="Arial" w:cs="Arial"/>
        </w:rPr>
        <w:t>t might not be the same situation for other types of IAB</w:t>
      </w:r>
      <w:r w:rsidR="00B405EC">
        <w:rPr>
          <w:rFonts w:ascii="Arial" w:hAnsi="Arial" w:cs="Arial"/>
        </w:rPr>
        <w:t>-node</w:t>
      </w:r>
      <w:r w:rsidRPr="00ED0DAB">
        <w:rPr>
          <w:rFonts w:ascii="Arial" w:hAnsi="Arial" w:cs="Arial"/>
        </w:rPr>
        <w:t xml:space="preserve">s that are not under operator control </w:t>
      </w:r>
      <w:r w:rsidR="00B405EC">
        <w:rPr>
          <w:rFonts w:ascii="Arial" w:hAnsi="Arial" w:cs="Arial"/>
        </w:rPr>
        <w:t>and/</w:t>
      </w:r>
      <w:r w:rsidRPr="00ED0DAB">
        <w:rPr>
          <w:rFonts w:ascii="Arial" w:hAnsi="Arial" w:cs="Arial"/>
        </w:rPr>
        <w:t>or</w:t>
      </w:r>
      <w:r w:rsidR="00B405EC">
        <w:rPr>
          <w:rFonts w:ascii="Arial" w:hAnsi="Arial" w:cs="Arial"/>
        </w:rPr>
        <w:t xml:space="preserve"> </w:t>
      </w:r>
      <w:r w:rsidRPr="00ED0DAB">
        <w:rPr>
          <w:rFonts w:ascii="Arial" w:hAnsi="Arial" w:cs="Arial"/>
        </w:rPr>
        <w:t>deployed in an uncoordinated/unplanned manner. For such IAB-nodes, failure cases may be more common, and solutions could be customized exclusively for them.</w:t>
      </w:r>
      <w:r w:rsidRPr="00ED0DAB" w:rsidDel="002119CF">
        <w:rPr>
          <w:rFonts w:ascii="Arial" w:hAnsi="Arial" w:cs="Arial"/>
        </w:rPr>
        <w:t xml:space="preserve"> </w:t>
      </w:r>
      <w:r w:rsidRPr="00ED0DAB">
        <w:rPr>
          <w:rFonts w:ascii="Arial" w:hAnsi="Arial" w:cs="Arial"/>
        </w:rPr>
        <w:t>However,</w:t>
      </w:r>
      <w:r w:rsidR="0045206D" w:rsidRPr="00ED0DAB">
        <w:rPr>
          <w:rFonts w:ascii="Arial" w:hAnsi="Arial" w:cs="Arial"/>
        </w:rPr>
        <w:t xml:space="preserve"> migration as a consequence of RLF may be subject to less signalling overhead at least over the air interface.</w:t>
      </w:r>
    </w:p>
    <w:p w14:paraId="584D7D84" w14:textId="5C85E1D9" w:rsidR="00CE55E9" w:rsidRDefault="0045206D" w:rsidP="00104E78">
      <w:pPr>
        <w:pStyle w:val="Proposal"/>
      </w:pPr>
      <w:bookmarkStart w:id="8" w:name="_Toc47646172"/>
      <w:r>
        <w:t xml:space="preserve">RAN2 </w:t>
      </w:r>
      <w:r w:rsidR="004C6333">
        <w:t xml:space="preserve">should </w:t>
      </w:r>
      <w:r>
        <w:t>consider load balancing of some of the traffic served by an IAB node</w:t>
      </w:r>
      <w:r w:rsidR="00CF4DE7">
        <w:t xml:space="preserve"> </w:t>
      </w:r>
      <w:r>
        <w:t xml:space="preserve">as the primary use case </w:t>
      </w:r>
      <w:r w:rsidR="0049265E">
        <w:t>for</w:t>
      </w:r>
      <w:r>
        <w:t xml:space="preserve"> the Rel</w:t>
      </w:r>
      <w:r w:rsidR="008D4F85">
        <w:t>-</w:t>
      </w:r>
      <w:r>
        <w:t>17 inter-CU migration</w:t>
      </w:r>
      <w:bookmarkEnd w:id="8"/>
    </w:p>
    <w:p w14:paraId="77157E23" w14:textId="17363320" w:rsidR="008D4F85" w:rsidRPr="00104E78" w:rsidRDefault="008D4F85" w:rsidP="00104E78">
      <w:pPr>
        <w:pStyle w:val="Proposal"/>
      </w:pPr>
      <w:bookmarkStart w:id="9" w:name="_Toc47646173"/>
      <w:r>
        <w:t xml:space="preserve">Inter-CU migration solutions should avoid massive reconfigurations and </w:t>
      </w:r>
      <w:r w:rsidR="000A3A3A">
        <w:t xml:space="preserve">minimize </w:t>
      </w:r>
      <w:r w:rsidR="00FE5F79">
        <w:t xml:space="preserve">the </w:t>
      </w:r>
      <w:r>
        <w:t>signalling load</w:t>
      </w:r>
      <w:r w:rsidR="00FE5F79">
        <w:t>.</w:t>
      </w:r>
      <w:bookmarkEnd w:id="9"/>
    </w:p>
    <w:p w14:paraId="3FF1C1F3" w14:textId="5F719BAF" w:rsidR="006D4CE4" w:rsidRPr="006D4CE4" w:rsidRDefault="00D45120" w:rsidP="007B0C3C">
      <w:pPr>
        <w:pStyle w:val="Heading2"/>
      </w:pPr>
      <w:r w:rsidRPr="00F9251D">
        <w:t>2.1</w:t>
      </w:r>
      <w:r w:rsidRPr="00F9251D">
        <w:tab/>
      </w:r>
      <w:r w:rsidR="00E87C75" w:rsidRPr="00F9251D">
        <w:t>The approaches</w:t>
      </w:r>
      <w:r w:rsidRPr="00F9251D">
        <w:t xml:space="preserve"> for inter-CU topology adaptation</w:t>
      </w:r>
    </w:p>
    <w:p w14:paraId="04313CD5" w14:textId="68CF2A74" w:rsidR="00D45120" w:rsidRPr="007C043A" w:rsidRDefault="00E87C75" w:rsidP="00BD2E87">
      <w:pPr>
        <w:pStyle w:val="Heading4"/>
        <w:jc w:val="both"/>
        <w:rPr>
          <w:rFonts w:cs="Arial"/>
          <w:sz w:val="28"/>
          <w:szCs w:val="22"/>
        </w:rPr>
      </w:pPr>
      <w:r w:rsidRPr="007C043A">
        <w:rPr>
          <w:rFonts w:cs="Arial"/>
          <w:sz w:val="28"/>
          <w:szCs w:val="22"/>
        </w:rPr>
        <w:t xml:space="preserve">Approach </w:t>
      </w:r>
      <w:r w:rsidR="003F783D" w:rsidRPr="007C043A">
        <w:rPr>
          <w:rFonts w:cs="Arial"/>
          <w:sz w:val="28"/>
          <w:szCs w:val="22"/>
        </w:rPr>
        <w:t>1</w:t>
      </w:r>
      <w:r w:rsidR="00DE147B" w:rsidRPr="007C043A">
        <w:rPr>
          <w:rFonts w:cs="Arial"/>
          <w:sz w:val="28"/>
          <w:szCs w:val="22"/>
        </w:rPr>
        <w:t>: Inter-donor migration – the “classic” case</w:t>
      </w:r>
    </w:p>
    <w:p w14:paraId="58B537F3" w14:textId="12EBBE8A" w:rsidR="00DC6F68" w:rsidRDefault="00DC6F68" w:rsidP="00BD2E87">
      <w:pPr>
        <w:jc w:val="both"/>
        <w:rPr>
          <w:rFonts w:ascii="Arial" w:hAnsi="Arial" w:cs="Arial"/>
        </w:rPr>
      </w:pPr>
      <w:r w:rsidRPr="0004245E">
        <w:rPr>
          <w:rFonts w:ascii="Arial" w:hAnsi="Arial" w:cs="Arial"/>
        </w:rPr>
        <w:t>In this case, an IAB node (herein referred to as the top-level node) and a number of its directly and indirectly served IAB nodes and UEs are “</w:t>
      </w:r>
      <w:r w:rsidRPr="0004245E">
        <w:rPr>
          <w:rFonts w:ascii="Arial" w:hAnsi="Arial" w:cs="Arial"/>
          <w:i/>
          <w:iCs/>
          <w:u w:val="single"/>
        </w:rPr>
        <w:t>completely</w:t>
      </w:r>
      <w:r w:rsidRPr="0004245E">
        <w:rPr>
          <w:rFonts w:ascii="Arial" w:hAnsi="Arial" w:cs="Arial"/>
        </w:rPr>
        <w:t>” handed over to a different donor gNB or to a parent IAB node served by a different donor gNB. This means that 100% of the traffic carried over that node is moved to another donor. The “completely” above means that all the RRC/F1AP connections with the old donor are removed in conjunction with the migration towards the target donor CU, similar to the legacy handover for UEs</w:t>
      </w:r>
      <w:r w:rsidRPr="000D014C">
        <w:t>.</w:t>
      </w:r>
      <w:r w:rsidR="006D4CE4">
        <w:t xml:space="preserve"> </w:t>
      </w:r>
      <w:r w:rsidR="00701430" w:rsidRPr="006F70CF">
        <w:rPr>
          <w:rFonts w:ascii="Arial" w:hAnsi="Arial" w:cs="Arial"/>
        </w:rPr>
        <w:t>We believe that this scenario might not be very likely to occur in practice, since load balancing typically operates on a device level, to properly balance the load in the various cells. Therefore a scenario in which a huge number of devices are suddenly subject to load balancing operations from the network</w:t>
      </w:r>
      <w:r w:rsidR="00411642">
        <w:rPr>
          <w:rFonts w:ascii="Arial" w:hAnsi="Arial" w:cs="Arial"/>
        </w:rPr>
        <w:t xml:space="preserve"> </w:t>
      </w:r>
      <w:r w:rsidR="00E12844">
        <w:rPr>
          <w:rFonts w:ascii="Arial" w:hAnsi="Arial" w:cs="Arial"/>
        </w:rPr>
        <w:t xml:space="preserve">less </w:t>
      </w:r>
      <w:r w:rsidR="00701430" w:rsidRPr="006F70CF">
        <w:rPr>
          <w:rFonts w:ascii="Arial" w:hAnsi="Arial" w:cs="Arial"/>
        </w:rPr>
        <w:t xml:space="preserve">likely to occur. </w:t>
      </w:r>
      <w:r w:rsidR="006D4CE4">
        <w:rPr>
          <w:rFonts w:ascii="Arial" w:hAnsi="Arial" w:cs="Arial"/>
        </w:rPr>
        <w:t xml:space="preserve">This scenario is captured in </w:t>
      </w:r>
      <w:r w:rsidR="006D4CE4">
        <w:rPr>
          <w:rFonts w:ascii="Arial" w:hAnsi="Arial" w:cs="Arial"/>
        </w:rPr>
        <w:fldChar w:fldCharType="begin"/>
      </w:r>
      <w:r w:rsidR="006D4CE4">
        <w:rPr>
          <w:rFonts w:ascii="Arial" w:hAnsi="Arial" w:cs="Arial"/>
        </w:rPr>
        <w:instrText xml:space="preserve"> REF _Ref47519723 \h  \* MERGEFORMAT </w:instrText>
      </w:r>
      <w:r w:rsidR="006D4CE4">
        <w:rPr>
          <w:rFonts w:ascii="Arial" w:hAnsi="Arial" w:cs="Arial"/>
        </w:rPr>
      </w:r>
      <w:r w:rsidR="006D4CE4">
        <w:rPr>
          <w:rFonts w:ascii="Arial" w:hAnsi="Arial" w:cs="Arial"/>
        </w:rPr>
        <w:fldChar w:fldCharType="separate"/>
      </w:r>
      <w:r w:rsidR="009F7FA6" w:rsidRPr="009F7FA6">
        <w:rPr>
          <w:rFonts w:ascii="Arial" w:hAnsi="Arial" w:cs="Arial"/>
        </w:rPr>
        <w:t>Figure 1</w:t>
      </w:r>
      <w:r w:rsidR="006D4CE4">
        <w:rPr>
          <w:rFonts w:ascii="Arial" w:hAnsi="Arial" w:cs="Arial"/>
        </w:rPr>
        <w:fldChar w:fldCharType="end"/>
      </w:r>
      <w:r w:rsidR="006D4CE4">
        <w:rPr>
          <w:rFonts w:ascii="Arial" w:hAnsi="Arial" w:cs="Arial"/>
        </w:rPr>
        <w:t>.</w:t>
      </w:r>
    </w:p>
    <w:p w14:paraId="5D6514F6" w14:textId="477F891F" w:rsidR="0075290D" w:rsidRPr="00410BB3" w:rsidRDefault="00503B39" w:rsidP="00410BB3">
      <w:pPr>
        <w:pStyle w:val="Observation"/>
      </w:pPr>
      <w:bookmarkStart w:id="10" w:name="_Toc47646170"/>
      <w:r>
        <w:t>A</w:t>
      </w:r>
      <w:r w:rsidR="00701430" w:rsidRPr="00701430">
        <w:t xml:space="preserve"> “classic handover” on a top-level node and its descendant nodes and UEs means that 100% of the traffic carried over that node is moved to another donor.</w:t>
      </w:r>
      <w:bookmarkEnd w:id="10"/>
    </w:p>
    <w:p w14:paraId="4C62B2AE" w14:textId="016D9DB9" w:rsidR="006E7820" w:rsidRDefault="006E7820" w:rsidP="00F93E7B">
      <w:pPr>
        <w:pStyle w:val="Caption"/>
        <w:rPr>
          <w:rFonts w:asciiTheme="minorHAnsi" w:hAnsiTheme="minorHAnsi" w:cstheme="minorHAnsi"/>
          <w:sz w:val="22"/>
          <w:szCs w:val="22"/>
        </w:rPr>
      </w:pPr>
      <w:bookmarkStart w:id="11" w:name="_Ref47519723"/>
      <w:r>
        <w:rPr>
          <w:rFonts w:asciiTheme="minorHAnsi" w:hAnsiTheme="minorHAnsi" w:cstheme="minorHAnsi"/>
          <w:b w:val="0"/>
          <w:bCs/>
          <w:noProof/>
          <w:sz w:val="22"/>
          <w:szCs w:val="22"/>
        </w:rPr>
        <w:drawing>
          <wp:inline distT="0" distB="0" distL="0" distR="0" wp14:anchorId="654873E2" wp14:editId="27928F5A">
            <wp:extent cx="5734050" cy="2546350"/>
            <wp:effectExtent l="0" t="0" r="0" b="6350"/>
            <wp:docPr id="1601105665" name="Picture 1601105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2546350"/>
                    </a:xfrm>
                    <a:prstGeom prst="rect">
                      <a:avLst/>
                    </a:prstGeom>
                    <a:noFill/>
                    <a:ln>
                      <a:noFill/>
                    </a:ln>
                  </pic:spPr>
                </pic:pic>
              </a:graphicData>
            </a:graphic>
          </wp:inline>
        </w:drawing>
      </w:r>
    </w:p>
    <w:p w14:paraId="4037D1DA" w14:textId="4FC17999" w:rsidR="0075290D" w:rsidRPr="007C043A" w:rsidRDefault="0075290D" w:rsidP="007C043A">
      <w:pPr>
        <w:pStyle w:val="Caption"/>
        <w:jc w:val="center"/>
        <w:rPr>
          <w:rFonts w:ascii="Arial" w:hAnsi="Arial" w:cs="Arial"/>
        </w:rPr>
      </w:pPr>
      <w:r w:rsidRPr="007C043A">
        <w:rPr>
          <w:rFonts w:ascii="Arial" w:hAnsi="Arial" w:cs="Arial"/>
        </w:rPr>
        <w:t xml:space="preserve">Figure </w:t>
      </w:r>
      <w:r w:rsidRPr="007C043A">
        <w:rPr>
          <w:rFonts w:ascii="Arial" w:hAnsi="Arial" w:cs="Arial"/>
        </w:rPr>
        <w:fldChar w:fldCharType="begin"/>
      </w:r>
      <w:r w:rsidRPr="007C043A">
        <w:rPr>
          <w:rFonts w:ascii="Arial" w:hAnsi="Arial" w:cs="Arial"/>
        </w:rPr>
        <w:instrText xml:space="preserve"> SEQ Figure \* ARABIC </w:instrText>
      </w:r>
      <w:r w:rsidRPr="007C043A">
        <w:rPr>
          <w:rFonts w:ascii="Arial" w:hAnsi="Arial" w:cs="Arial"/>
        </w:rPr>
        <w:fldChar w:fldCharType="separate"/>
      </w:r>
      <w:r w:rsidR="009F7FA6" w:rsidRPr="007C043A">
        <w:rPr>
          <w:rFonts w:ascii="Arial" w:hAnsi="Arial" w:cs="Arial"/>
          <w:noProof/>
        </w:rPr>
        <w:t>1</w:t>
      </w:r>
      <w:r w:rsidRPr="007C043A">
        <w:rPr>
          <w:rFonts w:ascii="Arial" w:hAnsi="Arial" w:cs="Arial"/>
        </w:rPr>
        <w:fldChar w:fldCharType="end"/>
      </w:r>
      <w:bookmarkEnd w:id="11"/>
      <w:r w:rsidRPr="007C043A">
        <w:rPr>
          <w:rFonts w:ascii="Arial" w:hAnsi="Arial" w:cs="Arial"/>
        </w:rPr>
        <w:t>: Example of the classic case for inter-CU migration – all RRC and F1 connections are migrated to the target donor</w:t>
      </w:r>
    </w:p>
    <w:p w14:paraId="363654EF" w14:textId="77777777" w:rsidR="0075290D" w:rsidRDefault="0075290D" w:rsidP="00BD2E87">
      <w:pPr>
        <w:jc w:val="both"/>
        <w:rPr>
          <w:rFonts w:ascii="Arial" w:hAnsi="Arial" w:cs="Arial"/>
        </w:rPr>
      </w:pPr>
    </w:p>
    <w:p w14:paraId="6D483F08" w14:textId="52183932" w:rsidR="00E90C5D" w:rsidRPr="007C12FA" w:rsidRDefault="00513C86" w:rsidP="00BD2E87">
      <w:pPr>
        <w:jc w:val="both"/>
        <w:rPr>
          <w:rFonts w:ascii="Arial" w:hAnsi="Arial" w:cs="Arial"/>
        </w:rPr>
      </w:pPr>
      <w:r w:rsidRPr="007C12FA">
        <w:rPr>
          <w:rFonts w:ascii="Arial" w:hAnsi="Arial" w:cs="Arial"/>
        </w:rPr>
        <w:t xml:space="preserve">This case is more </w:t>
      </w:r>
      <w:r w:rsidR="00F720DE" w:rsidRPr="007C12FA">
        <w:rPr>
          <w:rFonts w:ascii="Arial" w:hAnsi="Arial" w:cs="Arial"/>
        </w:rPr>
        <w:t>suitable for</w:t>
      </w:r>
      <w:r w:rsidRPr="007C12FA">
        <w:rPr>
          <w:rFonts w:ascii="Arial" w:hAnsi="Arial" w:cs="Arial"/>
        </w:rPr>
        <w:t xml:space="preserve"> failure cases</w:t>
      </w:r>
      <w:r w:rsidR="00592D7B" w:rsidRPr="007C12FA">
        <w:rPr>
          <w:rFonts w:ascii="Arial" w:hAnsi="Arial" w:cs="Arial"/>
        </w:rPr>
        <w:t xml:space="preserve"> or mobility use cases</w:t>
      </w:r>
      <w:r w:rsidR="00B927D3" w:rsidRPr="007C12FA">
        <w:rPr>
          <w:rFonts w:ascii="Arial" w:hAnsi="Arial" w:cs="Arial"/>
        </w:rPr>
        <w:t xml:space="preserve"> than </w:t>
      </w:r>
      <w:r w:rsidR="00F720DE" w:rsidRPr="007C12FA">
        <w:rPr>
          <w:rFonts w:ascii="Arial" w:hAnsi="Arial" w:cs="Arial"/>
        </w:rPr>
        <w:t>for</w:t>
      </w:r>
      <w:r w:rsidR="00B927D3" w:rsidRPr="007C12FA">
        <w:rPr>
          <w:rFonts w:ascii="Arial" w:hAnsi="Arial" w:cs="Arial"/>
        </w:rPr>
        <w:t xml:space="preserve"> a load balancing scenario</w:t>
      </w:r>
      <w:r w:rsidR="00F77C07" w:rsidRPr="007C12FA">
        <w:rPr>
          <w:rFonts w:ascii="Arial" w:hAnsi="Arial" w:cs="Arial"/>
        </w:rPr>
        <w:t>, since the mobility</w:t>
      </w:r>
      <w:r w:rsidR="005E565F" w:rsidRPr="007C12FA">
        <w:rPr>
          <w:rFonts w:ascii="Arial" w:hAnsi="Arial" w:cs="Arial"/>
        </w:rPr>
        <w:t>/RLF</w:t>
      </w:r>
      <w:r w:rsidR="00F77C07" w:rsidRPr="007C12FA">
        <w:rPr>
          <w:rFonts w:ascii="Arial" w:hAnsi="Arial" w:cs="Arial"/>
        </w:rPr>
        <w:t xml:space="preserve"> inherently </w:t>
      </w:r>
      <w:r w:rsidR="00B703A7" w:rsidRPr="007C12FA">
        <w:rPr>
          <w:rFonts w:ascii="Arial" w:hAnsi="Arial" w:cs="Arial"/>
        </w:rPr>
        <w:t>prohibits long-term simultaneous connections to the source and target.</w:t>
      </w:r>
      <w:r w:rsidR="008416A3" w:rsidRPr="007C12FA">
        <w:rPr>
          <w:rFonts w:ascii="Arial" w:hAnsi="Arial" w:cs="Arial"/>
        </w:rPr>
        <w:t xml:space="preserve"> Therefore</w:t>
      </w:r>
      <w:r w:rsidR="0037504C" w:rsidRPr="007C12FA">
        <w:rPr>
          <w:rFonts w:ascii="Arial" w:hAnsi="Arial" w:cs="Arial"/>
        </w:rPr>
        <w:t>,</w:t>
      </w:r>
      <w:r w:rsidR="009E6A7E" w:rsidRPr="007C12FA">
        <w:rPr>
          <w:rFonts w:ascii="Arial" w:hAnsi="Arial" w:cs="Arial"/>
        </w:rPr>
        <w:t xml:space="preserve"> as argued above,</w:t>
      </w:r>
      <w:r w:rsidR="00494EDB" w:rsidRPr="007C12FA">
        <w:rPr>
          <w:rFonts w:ascii="Arial" w:hAnsi="Arial" w:cs="Arial"/>
        </w:rPr>
        <w:t xml:space="preserve"> this is not a </w:t>
      </w:r>
      <w:r w:rsidR="00331691" w:rsidRPr="007C12FA">
        <w:rPr>
          <w:rFonts w:ascii="Arial" w:hAnsi="Arial" w:cs="Arial"/>
        </w:rPr>
        <w:t>reasonable approach</w:t>
      </w:r>
      <w:r w:rsidR="00494EDB" w:rsidRPr="007C12FA">
        <w:rPr>
          <w:rFonts w:ascii="Arial" w:hAnsi="Arial" w:cs="Arial"/>
        </w:rPr>
        <w:t xml:space="preserve"> </w:t>
      </w:r>
      <w:r w:rsidR="00465781" w:rsidRPr="007C12FA">
        <w:rPr>
          <w:rFonts w:ascii="Arial" w:hAnsi="Arial" w:cs="Arial"/>
        </w:rPr>
        <w:t>for</w:t>
      </w:r>
      <w:r w:rsidR="00494EDB" w:rsidRPr="007C12FA">
        <w:rPr>
          <w:rFonts w:ascii="Arial" w:hAnsi="Arial" w:cs="Arial"/>
        </w:rPr>
        <w:t xml:space="preserve"> </w:t>
      </w:r>
      <w:r w:rsidR="00563645" w:rsidRPr="007C12FA">
        <w:rPr>
          <w:rFonts w:ascii="Arial" w:hAnsi="Arial" w:cs="Arial"/>
        </w:rPr>
        <w:t>network-</w:t>
      </w:r>
      <w:r w:rsidR="00C12101" w:rsidRPr="007C12FA">
        <w:rPr>
          <w:rFonts w:ascii="Arial" w:hAnsi="Arial" w:cs="Arial"/>
        </w:rPr>
        <w:t>controlled topology adaptation</w:t>
      </w:r>
      <w:r w:rsidR="00C25A9D" w:rsidRPr="007C12FA">
        <w:rPr>
          <w:rFonts w:ascii="Arial" w:hAnsi="Arial" w:cs="Arial"/>
        </w:rPr>
        <w:t>,</w:t>
      </w:r>
      <w:r w:rsidR="00C52120" w:rsidRPr="007C12FA">
        <w:rPr>
          <w:rFonts w:ascii="Arial" w:hAnsi="Arial" w:cs="Arial"/>
        </w:rPr>
        <w:t xml:space="preserve"> </w:t>
      </w:r>
      <w:r w:rsidR="00C25A9D" w:rsidRPr="007C12FA">
        <w:rPr>
          <w:rFonts w:ascii="Arial" w:hAnsi="Arial" w:cs="Arial"/>
        </w:rPr>
        <w:t xml:space="preserve">which </w:t>
      </w:r>
      <w:r w:rsidR="006555B6" w:rsidRPr="007C12FA">
        <w:rPr>
          <w:rFonts w:ascii="Arial" w:hAnsi="Arial" w:cs="Arial"/>
        </w:rPr>
        <w:t xml:space="preserve">is triggered by decisions </w:t>
      </w:r>
      <w:r w:rsidR="00563645" w:rsidRPr="007C12FA">
        <w:rPr>
          <w:rFonts w:ascii="Arial" w:hAnsi="Arial" w:cs="Arial"/>
        </w:rPr>
        <w:t>based on</w:t>
      </w:r>
      <w:r w:rsidR="00C12101" w:rsidRPr="007C12FA">
        <w:rPr>
          <w:rFonts w:ascii="Arial" w:hAnsi="Arial" w:cs="Arial"/>
        </w:rPr>
        <w:t xml:space="preserve"> monitor</w:t>
      </w:r>
      <w:r w:rsidR="00563645" w:rsidRPr="007C12FA">
        <w:rPr>
          <w:rFonts w:ascii="Arial" w:hAnsi="Arial" w:cs="Arial"/>
        </w:rPr>
        <w:t>ing</w:t>
      </w:r>
      <w:r w:rsidR="00C12101" w:rsidRPr="007C12FA">
        <w:rPr>
          <w:rFonts w:ascii="Arial" w:hAnsi="Arial" w:cs="Arial"/>
        </w:rPr>
        <w:t xml:space="preserve"> over a</w:t>
      </w:r>
      <w:r w:rsidR="008846BF" w:rsidRPr="007C12FA">
        <w:rPr>
          <w:rFonts w:ascii="Arial" w:hAnsi="Arial" w:cs="Arial"/>
        </w:rPr>
        <w:t xml:space="preserve"> certain</w:t>
      </w:r>
      <w:r w:rsidR="00C12101" w:rsidRPr="007C12FA">
        <w:rPr>
          <w:rFonts w:ascii="Arial" w:hAnsi="Arial" w:cs="Arial"/>
        </w:rPr>
        <w:t xml:space="preserve"> period of time</w:t>
      </w:r>
      <w:r w:rsidR="0051106B" w:rsidRPr="007C12FA">
        <w:rPr>
          <w:rFonts w:ascii="Arial" w:hAnsi="Arial" w:cs="Arial"/>
        </w:rPr>
        <w:t>, where the</w:t>
      </w:r>
      <w:r w:rsidR="00A459E3" w:rsidRPr="007C12FA">
        <w:rPr>
          <w:rFonts w:ascii="Arial" w:hAnsi="Arial" w:cs="Arial"/>
        </w:rPr>
        <w:t xml:space="preserve"> goal is to ke</w:t>
      </w:r>
      <w:r w:rsidR="0051106B" w:rsidRPr="007C12FA">
        <w:rPr>
          <w:rFonts w:ascii="Arial" w:hAnsi="Arial" w:cs="Arial"/>
        </w:rPr>
        <w:t>ep</w:t>
      </w:r>
      <w:r w:rsidR="00A459E3" w:rsidRPr="007C12FA">
        <w:rPr>
          <w:rFonts w:ascii="Arial" w:hAnsi="Arial" w:cs="Arial"/>
        </w:rPr>
        <w:t xml:space="preserve"> the network stable</w:t>
      </w:r>
      <w:r w:rsidR="00B56DBE" w:rsidRPr="007C12FA">
        <w:rPr>
          <w:rFonts w:ascii="Arial" w:hAnsi="Arial" w:cs="Arial"/>
        </w:rPr>
        <w:t xml:space="preserve"> and traffic well balanced across cells</w:t>
      </w:r>
      <w:r w:rsidR="00A459E3" w:rsidRPr="007C12FA">
        <w:rPr>
          <w:rFonts w:ascii="Arial" w:hAnsi="Arial" w:cs="Arial"/>
        </w:rPr>
        <w:t>.</w:t>
      </w:r>
    </w:p>
    <w:p w14:paraId="3C377E60" w14:textId="77777777" w:rsidR="00ED1C33" w:rsidRPr="007C12FA" w:rsidRDefault="00ED1C33" w:rsidP="00BD2E87">
      <w:pPr>
        <w:jc w:val="both"/>
        <w:rPr>
          <w:rFonts w:ascii="Arial" w:hAnsi="Arial" w:cs="Arial"/>
        </w:rPr>
      </w:pPr>
      <w:r w:rsidRPr="007C12FA">
        <w:rPr>
          <w:rFonts w:ascii="Arial" w:hAnsi="Arial" w:cs="Arial"/>
        </w:rPr>
        <w:t>This scenario also imposes several challenges. For example, since the gNB-donor is changed, all the nodes in the network including IABs and UEs will have to be reconfigured:</w:t>
      </w:r>
    </w:p>
    <w:p w14:paraId="0C91814F" w14:textId="77777777" w:rsidR="00ED1C33" w:rsidRDefault="00ED1C33" w:rsidP="00ED1C33">
      <w:pPr>
        <w:pStyle w:val="ListBullet"/>
      </w:pPr>
      <w:r w:rsidRPr="000D014C">
        <w:t>First</w:t>
      </w:r>
      <w:r>
        <w:t>,</w:t>
      </w:r>
      <w:r w:rsidRPr="000D014C">
        <w:t xml:space="preserve"> the security keys will necessarily need to be changed. </w:t>
      </w:r>
    </w:p>
    <w:p w14:paraId="40FFF2FB" w14:textId="2F0276BA" w:rsidR="00ED1C33" w:rsidRPr="00ED1C33" w:rsidRDefault="00ED1C33" w:rsidP="00ED1C33">
      <w:pPr>
        <w:pStyle w:val="ListBullet"/>
      </w:pPr>
      <w:r w:rsidRPr="00801788">
        <w:t xml:space="preserve">Second, the target donor gNB may support different features than the source gNB. </w:t>
      </w:r>
    </w:p>
    <w:p w14:paraId="3619552F" w14:textId="3AE2EA26" w:rsidR="00ED1C33" w:rsidRPr="007C12FA" w:rsidRDefault="00ED1C33" w:rsidP="00BD2E87">
      <w:pPr>
        <w:jc w:val="both"/>
        <w:rPr>
          <w:rFonts w:ascii="Arial" w:hAnsi="Arial" w:cs="Arial"/>
        </w:rPr>
      </w:pPr>
      <w:r w:rsidRPr="007C12FA">
        <w:rPr>
          <w:rFonts w:ascii="Arial" w:hAnsi="Arial" w:cs="Arial"/>
        </w:rPr>
        <w:t>This may result in that the network</w:t>
      </w:r>
      <w:r w:rsidR="003D75EC">
        <w:rPr>
          <w:rFonts w:ascii="Arial" w:hAnsi="Arial" w:cs="Arial"/>
        </w:rPr>
        <w:t>, i.e. the target CU,</w:t>
      </w:r>
      <w:r w:rsidRPr="007C12FA">
        <w:rPr>
          <w:rFonts w:ascii="Arial" w:hAnsi="Arial" w:cs="Arial"/>
        </w:rPr>
        <w:t xml:space="preserve"> will need to:</w:t>
      </w:r>
    </w:p>
    <w:p w14:paraId="1F14B6BF" w14:textId="77777777" w:rsidR="00ED1C33" w:rsidRDefault="00ED1C33" w:rsidP="00ED1C33">
      <w:pPr>
        <w:pStyle w:val="ListBullet"/>
      </w:pPr>
      <w:r>
        <w:t>For each migrating</w:t>
      </w:r>
      <w:r w:rsidRPr="000D014C">
        <w:t xml:space="preserve"> UE and IAB</w:t>
      </w:r>
      <w:r>
        <w:t xml:space="preserve"> node, assess their</w:t>
      </w:r>
      <w:r w:rsidRPr="000D014C">
        <w:t xml:space="preserve"> capabilities and </w:t>
      </w:r>
      <w:r>
        <w:t xml:space="preserve">the corresponding </w:t>
      </w:r>
      <w:r w:rsidRPr="000D014C">
        <w:t>current configurations</w:t>
      </w:r>
    </w:p>
    <w:p w14:paraId="4D8D0B7B" w14:textId="77777777" w:rsidR="00ED1C33" w:rsidRPr="00ED1C33" w:rsidRDefault="00ED1C33" w:rsidP="00ED1C33">
      <w:pPr>
        <w:pStyle w:val="ListBullet"/>
      </w:pPr>
      <w:r w:rsidRPr="003D75EC">
        <w:t>Perform access control for all these IAB nodes and UEs</w:t>
      </w:r>
    </w:p>
    <w:p w14:paraId="6F5150AD" w14:textId="5EC1D81F" w:rsidR="00ED1C33" w:rsidRPr="00ED1C33" w:rsidRDefault="00ED1C33" w:rsidP="00ED1C33">
      <w:pPr>
        <w:pStyle w:val="ListBullet"/>
      </w:pPr>
      <w:r w:rsidRPr="003D75EC">
        <w:t xml:space="preserve">Perform reconfiguration of the accepted IAB nodes and UEs, if applicable. </w:t>
      </w:r>
    </w:p>
    <w:p w14:paraId="7560C774" w14:textId="1EDBDAEB" w:rsidR="003F783D" w:rsidRDefault="005D03AC" w:rsidP="00BD2E87">
      <w:pPr>
        <w:pStyle w:val="BodyText"/>
        <w:ind w:left="50"/>
        <w:rPr>
          <w:rFonts w:cs="Arial"/>
          <w:lang w:eastAsia="ja-JP"/>
        </w:rPr>
      </w:pPr>
      <w:r w:rsidRPr="0037677A">
        <w:rPr>
          <w:rFonts w:cs="Arial"/>
          <w:lang w:eastAsia="ja-JP"/>
        </w:rPr>
        <w:t xml:space="preserve">Even if the network </w:t>
      </w:r>
      <w:r w:rsidR="00F53177" w:rsidRPr="0037677A">
        <w:rPr>
          <w:rFonts w:cs="Arial"/>
          <w:lang w:eastAsia="ja-JP"/>
        </w:rPr>
        <w:t>performs some parallel</w:t>
      </w:r>
      <w:r w:rsidRPr="0037677A">
        <w:rPr>
          <w:rFonts w:cs="Arial"/>
          <w:lang w:eastAsia="ja-JP"/>
        </w:rPr>
        <w:t xml:space="preserve"> processes and reconfigurations, it is not </w:t>
      </w:r>
      <w:r w:rsidR="00342E24" w:rsidRPr="0037677A">
        <w:rPr>
          <w:rFonts w:cs="Arial"/>
          <w:lang w:eastAsia="ja-JP"/>
        </w:rPr>
        <w:t xml:space="preserve">realistic </w:t>
      </w:r>
      <w:r w:rsidRPr="0037677A">
        <w:rPr>
          <w:rFonts w:cs="Arial"/>
          <w:lang w:eastAsia="ja-JP"/>
        </w:rPr>
        <w:t>to expect that the network will paral</w:t>
      </w:r>
      <w:r w:rsidR="00321576" w:rsidRPr="0037677A">
        <w:rPr>
          <w:rFonts w:cs="Arial"/>
          <w:lang w:eastAsia="ja-JP"/>
        </w:rPr>
        <w:t>l</w:t>
      </w:r>
      <w:r w:rsidRPr="0037677A">
        <w:rPr>
          <w:rFonts w:cs="Arial"/>
          <w:lang w:eastAsia="ja-JP"/>
        </w:rPr>
        <w:t xml:space="preserve">elize </w:t>
      </w:r>
      <w:r w:rsidR="000644F3" w:rsidRPr="0037677A">
        <w:rPr>
          <w:rFonts w:cs="Arial"/>
          <w:lang w:eastAsia="ja-JP"/>
        </w:rPr>
        <w:t xml:space="preserve">all computational processes </w:t>
      </w:r>
      <w:r w:rsidRPr="0037677A">
        <w:rPr>
          <w:rFonts w:cs="Arial"/>
          <w:lang w:eastAsia="ja-JP"/>
        </w:rPr>
        <w:t>and reconfigure all the IABs and UEs at the same time</w:t>
      </w:r>
      <w:r w:rsidR="000644F3" w:rsidRPr="0037677A">
        <w:rPr>
          <w:rFonts w:cs="Arial"/>
          <w:lang w:eastAsia="ja-JP"/>
        </w:rPr>
        <w:t>.</w:t>
      </w:r>
      <w:r w:rsidR="00302221" w:rsidRPr="0037677A">
        <w:rPr>
          <w:rFonts w:cs="Arial"/>
          <w:lang w:eastAsia="ja-JP"/>
        </w:rPr>
        <w:t xml:space="preserve"> </w:t>
      </w:r>
      <w:r w:rsidR="00FE200E" w:rsidRPr="0037677A">
        <w:rPr>
          <w:rFonts w:cs="Arial"/>
          <w:lang w:eastAsia="ja-JP"/>
        </w:rPr>
        <w:t xml:space="preserve">Processing and reconfigurations will take time, </w:t>
      </w:r>
      <w:r w:rsidR="001F4235" w:rsidRPr="0037677A">
        <w:rPr>
          <w:rFonts w:cs="Arial"/>
          <w:lang w:eastAsia="ja-JP"/>
        </w:rPr>
        <w:t>e</w:t>
      </w:r>
      <w:r w:rsidR="00FE200E" w:rsidRPr="0037677A">
        <w:rPr>
          <w:rFonts w:cs="Arial"/>
          <w:lang w:eastAsia="ja-JP"/>
        </w:rPr>
        <w:t>specially if there are hundreds or thousands of devices under the IAB nodes and its child nodes.</w:t>
      </w:r>
      <w:r w:rsidR="001C7C30" w:rsidRPr="0037677A">
        <w:rPr>
          <w:rFonts w:cs="Arial"/>
          <w:lang w:eastAsia="ja-JP"/>
        </w:rPr>
        <w:t xml:space="preserve"> </w:t>
      </w:r>
      <w:r w:rsidR="004433DA" w:rsidRPr="0037677A">
        <w:rPr>
          <w:rFonts w:cs="Arial"/>
          <w:lang w:eastAsia="ja-JP"/>
        </w:rPr>
        <w:t>Besides,</w:t>
      </w:r>
      <w:r w:rsidR="0058717D" w:rsidRPr="0037677A">
        <w:rPr>
          <w:rFonts w:cs="Arial"/>
          <w:lang w:eastAsia="ja-JP"/>
        </w:rPr>
        <w:t xml:space="preserve"> this will </w:t>
      </w:r>
      <w:r w:rsidR="00D85418" w:rsidRPr="0037677A">
        <w:rPr>
          <w:rFonts w:cs="Arial"/>
          <w:lang w:eastAsia="ja-JP"/>
        </w:rPr>
        <w:t>incur</w:t>
      </w:r>
      <w:r w:rsidR="0058717D" w:rsidRPr="0037677A">
        <w:rPr>
          <w:rFonts w:cs="Arial"/>
          <w:lang w:eastAsia="ja-JP"/>
        </w:rPr>
        <w:t xml:space="preserve"> huge signalling </w:t>
      </w:r>
      <w:r w:rsidR="00D85418" w:rsidRPr="0037677A">
        <w:rPr>
          <w:rFonts w:cs="Arial"/>
          <w:lang w:eastAsia="ja-JP"/>
        </w:rPr>
        <w:t>overhead</w:t>
      </w:r>
      <w:r w:rsidR="0058717D" w:rsidRPr="0037677A">
        <w:rPr>
          <w:rFonts w:cs="Arial"/>
          <w:lang w:eastAsia="ja-JP"/>
        </w:rPr>
        <w:t xml:space="preserve"> </w:t>
      </w:r>
      <w:r w:rsidR="00CF6424" w:rsidRPr="0037677A">
        <w:rPr>
          <w:rFonts w:cs="Arial"/>
          <w:lang w:eastAsia="ja-JP"/>
        </w:rPr>
        <w:t xml:space="preserve">within the network and </w:t>
      </w:r>
      <w:r w:rsidR="009652C1" w:rsidRPr="0037677A">
        <w:rPr>
          <w:rFonts w:cs="Arial"/>
          <w:lang w:eastAsia="ja-JP"/>
        </w:rPr>
        <w:t xml:space="preserve">between the network and the UEs/IABs. </w:t>
      </w:r>
    </w:p>
    <w:p w14:paraId="4B4E79A2" w14:textId="4095332A" w:rsidR="00A325F1" w:rsidRPr="00F9251D" w:rsidRDefault="00A325F1" w:rsidP="004B1F1F">
      <w:pPr>
        <w:pStyle w:val="Observation"/>
      </w:pPr>
      <w:bookmarkStart w:id="12" w:name="_Toc47646171"/>
      <w:r w:rsidRPr="00F9251D">
        <w:t>It will be extremely challenging for a network to</w:t>
      </w:r>
      <w:r w:rsidR="00584E19" w:rsidRPr="00F9251D">
        <w:t xml:space="preserve"> execute, in parallel, the handover and reconfigurations of </w:t>
      </w:r>
      <w:r w:rsidR="004B1F1F">
        <w:t xml:space="preserve">many </w:t>
      </w:r>
      <w:r w:rsidR="00584E19" w:rsidRPr="00F9251D">
        <w:rPr>
          <w:rFonts w:asciiTheme="minorHAnsi" w:hAnsiTheme="minorHAnsi" w:cstheme="minorHAnsi"/>
          <w:sz w:val="22"/>
          <w:szCs w:val="22"/>
        </w:rPr>
        <w:t>migrating IAB nodes and served UEs.</w:t>
      </w:r>
      <w:bookmarkEnd w:id="12"/>
    </w:p>
    <w:p w14:paraId="54493483" w14:textId="3743AD41" w:rsidR="000C08AD" w:rsidRPr="009457C0" w:rsidRDefault="00C66AA2" w:rsidP="00BD2E87">
      <w:pPr>
        <w:jc w:val="both"/>
        <w:rPr>
          <w:rFonts w:ascii="Arial" w:hAnsi="Arial" w:cs="Arial"/>
        </w:rPr>
      </w:pPr>
      <w:r w:rsidRPr="009457C0">
        <w:rPr>
          <w:rFonts w:ascii="Arial" w:hAnsi="Arial" w:cs="Arial"/>
        </w:rPr>
        <w:t xml:space="preserve">Since this is not the </w:t>
      </w:r>
      <w:r w:rsidR="000C08AD" w:rsidRPr="009457C0">
        <w:rPr>
          <w:rFonts w:ascii="Arial" w:hAnsi="Arial" w:cs="Arial"/>
        </w:rPr>
        <w:t>typical topology adaptation use case</w:t>
      </w:r>
      <w:r w:rsidRPr="009457C0">
        <w:rPr>
          <w:rFonts w:ascii="Arial" w:hAnsi="Arial" w:cs="Arial"/>
        </w:rPr>
        <w:t xml:space="preserve">, </w:t>
      </w:r>
      <w:r w:rsidR="00BA54E0" w:rsidRPr="009457C0">
        <w:rPr>
          <w:rFonts w:ascii="Arial" w:hAnsi="Arial" w:cs="Arial"/>
        </w:rPr>
        <w:t xml:space="preserve">the “complete” group handover </w:t>
      </w:r>
      <w:r w:rsidR="00EB2FFC" w:rsidRPr="009457C0">
        <w:rPr>
          <w:rFonts w:ascii="Arial" w:hAnsi="Arial" w:cs="Arial"/>
        </w:rPr>
        <w:t>case should be d</w:t>
      </w:r>
      <w:r w:rsidR="00CA7FF2">
        <w:rPr>
          <w:rFonts w:ascii="Arial" w:hAnsi="Arial" w:cs="Arial"/>
        </w:rPr>
        <w:t>e</w:t>
      </w:r>
      <w:r w:rsidR="00EB2FFC" w:rsidRPr="009457C0">
        <w:rPr>
          <w:rFonts w:ascii="Arial" w:hAnsi="Arial" w:cs="Arial"/>
        </w:rPr>
        <w:t>-prioritize</w:t>
      </w:r>
      <w:r w:rsidR="009B528F" w:rsidRPr="009457C0">
        <w:rPr>
          <w:rFonts w:ascii="Arial" w:hAnsi="Arial" w:cs="Arial"/>
        </w:rPr>
        <w:t>d</w:t>
      </w:r>
      <w:r w:rsidR="00EB2FFC" w:rsidRPr="009457C0">
        <w:rPr>
          <w:rFonts w:ascii="Arial" w:hAnsi="Arial" w:cs="Arial"/>
        </w:rPr>
        <w:t xml:space="preserve"> among </w:t>
      </w:r>
      <w:r w:rsidR="006C428E" w:rsidRPr="009457C0">
        <w:rPr>
          <w:rFonts w:ascii="Arial" w:hAnsi="Arial" w:cs="Arial"/>
        </w:rPr>
        <w:t>the approaches for inter-donor migration</w:t>
      </w:r>
      <w:r w:rsidR="00C70264" w:rsidRPr="009457C0">
        <w:rPr>
          <w:rFonts w:ascii="Arial" w:hAnsi="Arial" w:cs="Arial"/>
        </w:rPr>
        <w:t>.</w:t>
      </w:r>
      <w:r w:rsidR="00A83F05" w:rsidRPr="009457C0">
        <w:rPr>
          <w:rFonts w:ascii="Arial" w:hAnsi="Arial" w:cs="Arial"/>
        </w:rPr>
        <w:t xml:space="preserve"> </w:t>
      </w:r>
      <w:r w:rsidR="004267B9" w:rsidRPr="009457C0">
        <w:rPr>
          <w:rFonts w:ascii="Arial" w:hAnsi="Arial" w:cs="Arial"/>
        </w:rPr>
        <w:t>Nevertheless, i</w:t>
      </w:r>
      <w:r w:rsidR="00A83F05" w:rsidRPr="009457C0">
        <w:rPr>
          <w:rFonts w:ascii="Arial" w:hAnsi="Arial" w:cs="Arial"/>
        </w:rPr>
        <w:t>f</w:t>
      </w:r>
      <w:r w:rsidR="004267B9" w:rsidRPr="009457C0">
        <w:rPr>
          <w:rFonts w:ascii="Arial" w:hAnsi="Arial" w:cs="Arial"/>
        </w:rPr>
        <w:t xml:space="preserve"> RAN3 decides to support</w:t>
      </w:r>
      <w:r w:rsidR="00A83F05" w:rsidRPr="009457C0">
        <w:rPr>
          <w:rFonts w:ascii="Arial" w:hAnsi="Arial" w:cs="Arial"/>
        </w:rPr>
        <w:t xml:space="preserve"> </w:t>
      </w:r>
      <w:r w:rsidR="009D63D3" w:rsidRPr="009457C0">
        <w:rPr>
          <w:rFonts w:ascii="Arial" w:hAnsi="Arial" w:cs="Arial"/>
        </w:rPr>
        <w:t>the “classic” approach</w:t>
      </w:r>
      <w:r w:rsidR="00A83F05" w:rsidRPr="009457C0">
        <w:rPr>
          <w:rFonts w:ascii="Arial" w:hAnsi="Arial" w:cs="Arial"/>
        </w:rPr>
        <w:t xml:space="preserve">, </w:t>
      </w:r>
      <w:r w:rsidR="009D63D3" w:rsidRPr="009457C0">
        <w:rPr>
          <w:rFonts w:ascii="Arial" w:hAnsi="Arial" w:cs="Arial"/>
        </w:rPr>
        <w:t xml:space="preserve">the </w:t>
      </w:r>
      <w:r w:rsidR="00A83F05" w:rsidRPr="009457C0">
        <w:rPr>
          <w:rFonts w:ascii="Arial" w:hAnsi="Arial" w:cs="Arial"/>
        </w:rPr>
        <w:t xml:space="preserve">solutions should focus on </w:t>
      </w:r>
      <w:r w:rsidR="00F93B50" w:rsidRPr="009457C0">
        <w:rPr>
          <w:rFonts w:ascii="Arial" w:hAnsi="Arial" w:cs="Arial"/>
        </w:rPr>
        <w:t>ways</w:t>
      </w:r>
      <w:r w:rsidR="00897759" w:rsidRPr="009457C0">
        <w:rPr>
          <w:rFonts w:ascii="Arial" w:hAnsi="Arial" w:cs="Arial"/>
        </w:rPr>
        <w:t xml:space="preserve"> to </w:t>
      </w:r>
      <w:r w:rsidR="00C35917" w:rsidRPr="009457C0">
        <w:rPr>
          <w:rFonts w:ascii="Arial" w:hAnsi="Arial" w:cs="Arial"/>
        </w:rPr>
        <w:t xml:space="preserve">limit the impact to </w:t>
      </w:r>
      <w:r w:rsidR="008E1127" w:rsidRPr="009457C0">
        <w:rPr>
          <w:rFonts w:ascii="Arial" w:hAnsi="Arial" w:cs="Arial"/>
        </w:rPr>
        <w:t>as few</w:t>
      </w:r>
      <w:r w:rsidR="00625995" w:rsidRPr="009457C0">
        <w:rPr>
          <w:rFonts w:ascii="Arial" w:hAnsi="Arial" w:cs="Arial"/>
        </w:rPr>
        <w:t xml:space="preserve"> nodes</w:t>
      </w:r>
      <w:r w:rsidR="008E1127" w:rsidRPr="009457C0">
        <w:rPr>
          <w:rFonts w:ascii="Arial" w:hAnsi="Arial" w:cs="Arial"/>
        </w:rPr>
        <w:t xml:space="preserve"> as possible</w:t>
      </w:r>
      <w:r w:rsidR="00625995" w:rsidRPr="009457C0">
        <w:rPr>
          <w:rFonts w:ascii="Arial" w:hAnsi="Arial" w:cs="Arial"/>
        </w:rPr>
        <w:t xml:space="preserve"> </w:t>
      </w:r>
      <w:r w:rsidR="00B217EA" w:rsidRPr="009457C0">
        <w:rPr>
          <w:rFonts w:ascii="Arial" w:hAnsi="Arial" w:cs="Arial"/>
        </w:rPr>
        <w:t xml:space="preserve">and </w:t>
      </w:r>
      <w:r w:rsidR="008E1127" w:rsidRPr="009457C0">
        <w:rPr>
          <w:rFonts w:ascii="Arial" w:hAnsi="Arial" w:cs="Arial"/>
        </w:rPr>
        <w:t xml:space="preserve">to </w:t>
      </w:r>
      <w:r w:rsidR="00625995" w:rsidRPr="009457C0">
        <w:rPr>
          <w:rFonts w:ascii="Arial" w:hAnsi="Arial" w:cs="Arial"/>
        </w:rPr>
        <w:t xml:space="preserve">avoid </w:t>
      </w:r>
      <w:r w:rsidR="00743499" w:rsidRPr="009457C0">
        <w:rPr>
          <w:rFonts w:ascii="Arial" w:hAnsi="Arial" w:cs="Arial"/>
        </w:rPr>
        <w:t>a massive number of reconfigurations.</w:t>
      </w:r>
    </w:p>
    <w:p w14:paraId="47A7E26B" w14:textId="14B78D1F" w:rsidR="00A934CD" w:rsidRPr="00ED3357" w:rsidRDefault="000D5889" w:rsidP="000D5889">
      <w:pPr>
        <w:pStyle w:val="Proposal"/>
        <w:rPr>
          <w:rFonts w:cs="Arial"/>
          <w:b w:val="0"/>
        </w:rPr>
      </w:pPr>
      <w:bookmarkStart w:id="13" w:name="_Toc47646174"/>
      <w:r w:rsidRPr="00ED3357">
        <w:rPr>
          <w:rFonts w:cs="Arial"/>
          <w:lang w:eastAsia="ja-JP"/>
        </w:rPr>
        <w:t>RAN</w:t>
      </w:r>
      <w:r w:rsidR="009457C0" w:rsidRPr="00ED3357">
        <w:rPr>
          <w:rFonts w:cs="Arial"/>
          <w:lang w:eastAsia="ja-JP"/>
        </w:rPr>
        <w:t>2</w:t>
      </w:r>
      <w:r w:rsidRPr="00ED3357">
        <w:rPr>
          <w:rFonts w:cs="Arial"/>
          <w:lang w:eastAsia="ja-JP"/>
        </w:rPr>
        <w:t xml:space="preserve"> to de-prioritize the “classic” approach for inter-donor migration, where the migrating IAB nodes and UEs are completely handed over to the target concurrently, </w:t>
      </w:r>
      <w:r w:rsidRPr="00ED3357">
        <w:rPr>
          <w:rFonts w:cs="Arial"/>
        </w:rPr>
        <w:t>and the connections to the source are torn down.</w:t>
      </w:r>
      <w:bookmarkEnd w:id="13"/>
    </w:p>
    <w:p w14:paraId="37B2ECCF" w14:textId="7D4A78B8" w:rsidR="003B60FA" w:rsidRPr="00116A44" w:rsidRDefault="00F720DE" w:rsidP="00BD2E87">
      <w:pPr>
        <w:pStyle w:val="Heading4"/>
        <w:jc w:val="both"/>
        <w:rPr>
          <w:rFonts w:cs="Arial"/>
          <w:sz w:val="28"/>
          <w:szCs w:val="28"/>
        </w:rPr>
      </w:pPr>
      <w:r w:rsidRPr="00116A44">
        <w:rPr>
          <w:rFonts w:cs="Arial"/>
          <w:sz w:val="28"/>
          <w:szCs w:val="28"/>
        </w:rPr>
        <w:t>Approach</w:t>
      </w:r>
      <w:r w:rsidR="003B60FA" w:rsidRPr="00116A44">
        <w:rPr>
          <w:rFonts w:cs="Arial"/>
          <w:sz w:val="28"/>
          <w:szCs w:val="28"/>
        </w:rPr>
        <w:t xml:space="preserve"> 2</w:t>
      </w:r>
      <w:r w:rsidR="002F6FA5" w:rsidRPr="00116A44">
        <w:rPr>
          <w:rFonts w:cs="Arial"/>
          <w:sz w:val="28"/>
          <w:szCs w:val="28"/>
        </w:rPr>
        <w:t xml:space="preserve">: </w:t>
      </w:r>
      <w:r w:rsidR="009251A4" w:rsidRPr="009251A4">
        <w:rPr>
          <w:rFonts w:cs="Arial"/>
          <w:sz w:val="28"/>
          <w:szCs w:val="28"/>
        </w:rPr>
        <w:t>Gradual and partial inter-donor migration</w:t>
      </w:r>
    </w:p>
    <w:p w14:paraId="174706BC" w14:textId="79B49351" w:rsidR="001540C4" w:rsidRPr="00A6594C" w:rsidRDefault="001540C4" w:rsidP="00BD2E87">
      <w:pPr>
        <w:jc w:val="both"/>
        <w:rPr>
          <w:rFonts w:ascii="Arial" w:hAnsi="Arial" w:cs="Arial"/>
        </w:rPr>
      </w:pPr>
      <w:r w:rsidRPr="00A6594C">
        <w:rPr>
          <w:rFonts w:ascii="Arial" w:hAnsi="Arial" w:cs="Arial"/>
        </w:rPr>
        <w:t xml:space="preserve">As argued above, in a controlled topology adaptation, a part of the load may be offloaded gradually to a second node. This implies that a connection to a second node is created and then, reconfigurations are performed gradually, in a controlled manner, where part of the traffic traversing the top-level node is offloaded to the new donor. This means that </w:t>
      </w:r>
      <w:r w:rsidR="000D1DA1">
        <w:rPr>
          <w:rFonts w:ascii="Arial" w:hAnsi="Arial" w:cs="Arial"/>
        </w:rPr>
        <w:t xml:space="preserve">for the top-level IAB node, </w:t>
      </w:r>
      <w:r w:rsidRPr="00A6594C">
        <w:rPr>
          <w:rFonts w:ascii="Arial" w:hAnsi="Arial" w:cs="Arial"/>
        </w:rPr>
        <w:t>the connection</w:t>
      </w:r>
      <w:r w:rsidR="00B82E47">
        <w:rPr>
          <w:rFonts w:ascii="Arial" w:hAnsi="Arial" w:cs="Arial"/>
        </w:rPr>
        <w:t>s</w:t>
      </w:r>
      <w:r w:rsidRPr="00A6594C">
        <w:rPr>
          <w:rFonts w:ascii="Arial" w:hAnsi="Arial" w:cs="Arial"/>
        </w:rPr>
        <w:t xml:space="preserve"> to both the source and the target donor gNB are maintained. Eventually, the connection </w:t>
      </w:r>
      <w:r w:rsidR="004F7A71">
        <w:rPr>
          <w:rFonts w:ascii="Arial" w:hAnsi="Arial" w:cs="Arial"/>
        </w:rPr>
        <w:t xml:space="preserve">of the top-level IAB node </w:t>
      </w:r>
      <w:r w:rsidRPr="00A6594C">
        <w:rPr>
          <w:rFonts w:ascii="Arial" w:hAnsi="Arial" w:cs="Arial"/>
        </w:rPr>
        <w:t xml:space="preserve">in either the source or the target donor gNB could be released. Nevertheless, considering that topology adaption will be mainly for load balancing, it is likely that, when the load in the network becomes normal again, the connections are moved back to </w:t>
      </w:r>
      <w:r w:rsidR="00193C7E">
        <w:rPr>
          <w:rFonts w:ascii="Arial" w:hAnsi="Arial" w:cs="Arial"/>
        </w:rPr>
        <w:t xml:space="preserve">the </w:t>
      </w:r>
      <w:r w:rsidRPr="00A6594C">
        <w:rPr>
          <w:rFonts w:ascii="Arial" w:hAnsi="Arial" w:cs="Arial"/>
        </w:rPr>
        <w:t>first/source node, i.e. the target donor gNB connections would be released.</w:t>
      </w:r>
    </w:p>
    <w:p w14:paraId="50CB0336" w14:textId="47AA2E1F" w:rsidR="001540C4" w:rsidRPr="00A6594C" w:rsidRDefault="001540C4" w:rsidP="00BD2E87">
      <w:pPr>
        <w:pStyle w:val="BodyText"/>
        <w:rPr>
          <w:rFonts w:cs="Arial"/>
          <w:lang w:eastAsia="ja-JP"/>
        </w:rPr>
      </w:pPr>
      <w:r w:rsidRPr="00A6594C">
        <w:rPr>
          <w:rFonts w:cs="Arial"/>
          <w:lang w:eastAsia="ja-JP"/>
        </w:rPr>
        <w:t xml:space="preserve">This approach has at least two flavours, as shown in </w:t>
      </w:r>
      <w:r w:rsidR="008E4C14">
        <w:rPr>
          <w:rFonts w:cs="Arial"/>
          <w:lang w:eastAsia="ja-JP"/>
        </w:rPr>
        <w:t>Figure 2 and Figure 3.</w:t>
      </w:r>
      <w:r w:rsidRPr="00A6594C">
        <w:rPr>
          <w:rFonts w:cs="Arial"/>
          <w:lang w:eastAsia="ja-JP"/>
        </w:rPr>
        <w:t xml:space="preserve"> </w:t>
      </w:r>
      <w:r w:rsidR="008E4C14">
        <w:rPr>
          <w:rFonts w:cs="Arial"/>
          <w:lang w:eastAsia="ja-JP"/>
        </w:rPr>
        <w:t>In Figure 2</w:t>
      </w:r>
      <w:r w:rsidRPr="00A6594C">
        <w:rPr>
          <w:rFonts w:cs="Arial"/>
          <w:lang w:eastAsia="ja-JP"/>
        </w:rPr>
        <w:t xml:space="preserve">, Donor 1 requests the Donor 2 to establish a connection towards top-level node.  A new connection is then established towards </w:t>
      </w:r>
      <w:r w:rsidR="00806F7A">
        <w:rPr>
          <w:rFonts w:cs="Arial"/>
          <w:lang w:eastAsia="ja-JP"/>
        </w:rPr>
        <w:t>such top-level node</w:t>
      </w:r>
      <w:r w:rsidRPr="00A6594C">
        <w:rPr>
          <w:rFonts w:cs="Arial"/>
          <w:lang w:eastAsia="ja-JP"/>
        </w:rPr>
        <w:t xml:space="preserve"> (in addition to the existing one towards Donor 1), and, when this new connection is established, the network can reconfigure </w:t>
      </w:r>
      <w:r w:rsidR="005C36FE">
        <w:rPr>
          <w:rFonts w:cs="Arial"/>
          <w:lang w:eastAsia="ja-JP"/>
        </w:rPr>
        <w:t>t</w:t>
      </w:r>
      <w:r w:rsidRPr="00A6594C">
        <w:rPr>
          <w:rFonts w:cs="Arial"/>
          <w:lang w:eastAsia="ja-JP"/>
        </w:rPr>
        <w:t xml:space="preserve">he UEs or other IAB nodes served by </w:t>
      </w:r>
      <w:r w:rsidR="005C36FE">
        <w:rPr>
          <w:rFonts w:cs="Arial"/>
          <w:lang w:eastAsia="ja-JP"/>
        </w:rPr>
        <w:t>such IAB node</w:t>
      </w:r>
      <w:r w:rsidRPr="00A6594C">
        <w:rPr>
          <w:rFonts w:cs="Arial"/>
          <w:lang w:eastAsia="ja-JP"/>
        </w:rPr>
        <w:t xml:space="preserve">. </w:t>
      </w:r>
      <w:r w:rsidR="00E84C27">
        <w:rPr>
          <w:rFonts w:cs="Arial"/>
          <w:lang w:eastAsia="ja-JP"/>
        </w:rPr>
        <w:t>In</w:t>
      </w:r>
      <w:r w:rsidR="00E84C27" w:rsidRPr="00A6594C">
        <w:rPr>
          <w:rFonts w:cs="Arial"/>
          <w:lang w:eastAsia="ja-JP"/>
        </w:rPr>
        <w:t xml:space="preserve"> </w:t>
      </w:r>
      <w:r w:rsidRPr="00A6594C">
        <w:rPr>
          <w:rFonts w:cs="Arial"/>
          <w:lang w:eastAsia="ja-JP"/>
        </w:rPr>
        <w:t>this way, the load is gradually moved towards Donor 2. Once the corresponding nodes are reconfigured and transferred completely to Donor 2, then the connections from these UEs and nodes towards the first donor can be removed. This implies that nodes will have to support, for a period of time, two protocol stacks.</w:t>
      </w:r>
    </w:p>
    <w:p w14:paraId="6D6AF176" w14:textId="38A99E2E" w:rsidR="00847D8E" w:rsidRPr="00846B27" w:rsidRDefault="002B3CBF" w:rsidP="00BD2E87">
      <w:pPr>
        <w:keepNext/>
        <w:jc w:val="both"/>
        <w:rPr>
          <w:rFonts w:asciiTheme="minorHAnsi" w:hAnsiTheme="minorHAnsi" w:cstheme="minorHAnsi"/>
          <w:highlight w:val="yellow"/>
        </w:rPr>
      </w:pPr>
      <w:r>
        <w:rPr>
          <w:noProof/>
        </w:rPr>
        <w:drawing>
          <wp:inline distT="0" distB="0" distL="0" distR="0" wp14:anchorId="5E261F9A" wp14:editId="77974F6D">
            <wp:extent cx="5651500" cy="2533650"/>
            <wp:effectExtent l="0" t="0" r="6350" b="0"/>
            <wp:docPr id="1601106035" name="Picture 1601106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1500" cy="2533650"/>
                    </a:xfrm>
                    <a:prstGeom prst="rect">
                      <a:avLst/>
                    </a:prstGeom>
                    <a:noFill/>
                    <a:ln>
                      <a:noFill/>
                    </a:ln>
                  </pic:spPr>
                </pic:pic>
              </a:graphicData>
            </a:graphic>
          </wp:inline>
        </w:drawing>
      </w:r>
    </w:p>
    <w:p w14:paraId="7B4D618C" w14:textId="62E4C63D" w:rsidR="00244E04" w:rsidRPr="007C043A" w:rsidRDefault="00847D8E" w:rsidP="007C043A">
      <w:pPr>
        <w:pStyle w:val="Caption"/>
        <w:jc w:val="center"/>
        <w:rPr>
          <w:rFonts w:ascii="Arial" w:hAnsi="Arial" w:cs="Arial"/>
        </w:rPr>
      </w:pPr>
      <w:bookmarkStart w:id="14" w:name="_Ref47631978"/>
      <w:r w:rsidRPr="007C043A">
        <w:rPr>
          <w:rFonts w:ascii="Arial" w:hAnsi="Arial" w:cs="Arial"/>
        </w:rPr>
        <w:t xml:space="preserve">Figure </w:t>
      </w:r>
      <w:r w:rsidRPr="007C043A">
        <w:rPr>
          <w:rFonts w:ascii="Arial" w:hAnsi="Arial" w:cs="Arial"/>
        </w:rPr>
        <w:fldChar w:fldCharType="begin"/>
      </w:r>
      <w:r w:rsidRPr="007C043A">
        <w:rPr>
          <w:rFonts w:ascii="Arial" w:hAnsi="Arial" w:cs="Arial"/>
        </w:rPr>
        <w:instrText xml:space="preserve"> SEQ Figure \* ARABIC </w:instrText>
      </w:r>
      <w:r w:rsidRPr="007C043A">
        <w:rPr>
          <w:rFonts w:ascii="Arial" w:hAnsi="Arial" w:cs="Arial"/>
        </w:rPr>
        <w:fldChar w:fldCharType="separate"/>
      </w:r>
      <w:r w:rsidR="009F7FA6" w:rsidRPr="007C043A">
        <w:rPr>
          <w:rFonts w:ascii="Arial" w:hAnsi="Arial" w:cs="Arial"/>
          <w:noProof/>
        </w:rPr>
        <w:t>2</w:t>
      </w:r>
      <w:r w:rsidRPr="007C043A">
        <w:rPr>
          <w:rFonts w:ascii="Arial" w:hAnsi="Arial" w:cs="Arial"/>
        </w:rPr>
        <w:fldChar w:fldCharType="end"/>
      </w:r>
      <w:bookmarkEnd w:id="14"/>
      <w:r w:rsidR="00F90F36" w:rsidRPr="007C043A">
        <w:rPr>
          <w:rFonts w:ascii="Arial" w:hAnsi="Arial" w:cs="Arial"/>
        </w:rPr>
        <w:t>:</w:t>
      </w:r>
      <w:r w:rsidR="00A32152" w:rsidRPr="007C043A">
        <w:rPr>
          <w:rFonts w:ascii="Arial" w:hAnsi="Arial" w:cs="Arial"/>
        </w:rPr>
        <w:t xml:space="preserve"> </w:t>
      </w:r>
      <w:r w:rsidR="00C077CB" w:rsidRPr="007C043A">
        <w:rPr>
          <w:rFonts w:ascii="Arial" w:hAnsi="Arial" w:cs="Arial"/>
        </w:rPr>
        <w:t>An e</w:t>
      </w:r>
      <w:r w:rsidR="00A32152" w:rsidRPr="007C043A">
        <w:rPr>
          <w:rFonts w:ascii="Arial" w:hAnsi="Arial" w:cs="Arial"/>
        </w:rPr>
        <w:t>xample of inter-CU migration</w:t>
      </w:r>
      <w:r w:rsidR="007F64D3" w:rsidRPr="007C043A">
        <w:rPr>
          <w:rFonts w:ascii="Arial" w:hAnsi="Arial" w:cs="Arial"/>
        </w:rPr>
        <w:t xml:space="preserve"> </w:t>
      </w:r>
      <w:r w:rsidR="003E576C" w:rsidRPr="007C043A">
        <w:rPr>
          <w:rFonts w:ascii="Arial" w:hAnsi="Arial" w:cs="Arial"/>
        </w:rPr>
        <w:t>–</w:t>
      </w:r>
      <w:r w:rsidR="007F64D3" w:rsidRPr="007C043A">
        <w:rPr>
          <w:rFonts w:ascii="Arial" w:hAnsi="Arial" w:cs="Arial"/>
        </w:rPr>
        <w:t xml:space="preserve"> </w:t>
      </w:r>
      <w:r w:rsidR="009B3D4D" w:rsidRPr="007C043A">
        <w:rPr>
          <w:rFonts w:ascii="Arial" w:hAnsi="Arial" w:cs="Arial"/>
        </w:rPr>
        <w:t>load gradually moved to target CU.</w:t>
      </w:r>
    </w:p>
    <w:p w14:paraId="77CF2A24" w14:textId="77777777" w:rsidR="009E4F11" w:rsidRDefault="009E4F11" w:rsidP="00BD2E87">
      <w:pPr>
        <w:jc w:val="both"/>
        <w:rPr>
          <w:rFonts w:ascii="Arial" w:hAnsi="Arial" w:cs="Arial"/>
        </w:rPr>
      </w:pPr>
    </w:p>
    <w:p w14:paraId="2E10DAD8" w14:textId="77777777" w:rsidR="009E4F11" w:rsidRPr="00846B27" w:rsidRDefault="009E4F11" w:rsidP="009E4F11">
      <w:pPr>
        <w:pStyle w:val="BodyText"/>
        <w:rPr>
          <w:rFonts w:asciiTheme="minorHAnsi" w:hAnsiTheme="minorHAnsi" w:cstheme="minorHAnsi"/>
          <w:highlight w:val="yellow"/>
        </w:rPr>
      </w:pPr>
      <w:r>
        <w:rPr>
          <w:noProof/>
        </w:rPr>
        <w:drawing>
          <wp:inline distT="0" distB="0" distL="0" distR="0" wp14:anchorId="7211B53B" wp14:editId="2C629916">
            <wp:extent cx="6108700" cy="2717800"/>
            <wp:effectExtent l="0" t="0" r="6350" b="6350"/>
            <wp:docPr id="1601105668" name="Picture 1601105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8700" cy="2717800"/>
                    </a:xfrm>
                    <a:prstGeom prst="rect">
                      <a:avLst/>
                    </a:prstGeom>
                    <a:noFill/>
                    <a:ln>
                      <a:noFill/>
                    </a:ln>
                  </pic:spPr>
                </pic:pic>
              </a:graphicData>
            </a:graphic>
          </wp:inline>
        </w:drawing>
      </w:r>
    </w:p>
    <w:p w14:paraId="57A86403" w14:textId="77777777" w:rsidR="009E4F11" w:rsidRPr="007C043A" w:rsidRDefault="009E4F11" w:rsidP="009E4F11">
      <w:pPr>
        <w:pStyle w:val="Caption"/>
        <w:jc w:val="center"/>
        <w:rPr>
          <w:rFonts w:ascii="Arial" w:hAnsi="Arial" w:cs="Arial"/>
          <w:highlight w:val="yellow"/>
        </w:rPr>
      </w:pPr>
      <w:r w:rsidRPr="007C043A">
        <w:rPr>
          <w:rFonts w:ascii="Arial" w:hAnsi="Arial" w:cs="Arial"/>
        </w:rPr>
        <w:t>Figure 3: An example of inter-CU migration: IAB-node  connected to two different donor gNB and target CU acting as a proxy for some traffic.</w:t>
      </w:r>
    </w:p>
    <w:p w14:paraId="06AD58A0" w14:textId="77777777" w:rsidR="009E4F11" w:rsidRDefault="009E4F11" w:rsidP="00BD2E87">
      <w:pPr>
        <w:jc w:val="both"/>
        <w:rPr>
          <w:rFonts w:ascii="Arial" w:hAnsi="Arial" w:cs="Arial"/>
        </w:rPr>
      </w:pPr>
    </w:p>
    <w:p w14:paraId="75717D20" w14:textId="5B7DF108" w:rsidR="00683EC7" w:rsidRPr="003C3DD3" w:rsidRDefault="00683EC7" w:rsidP="00BD2E87">
      <w:pPr>
        <w:jc w:val="both"/>
        <w:rPr>
          <w:rFonts w:ascii="Arial" w:hAnsi="Arial" w:cs="Arial"/>
        </w:rPr>
      </w:pPr>
      <w:r w:rsidRPr="003C3DD3">
        <w:rPr>
          <w:rFonts w:ascii="Arial" w:hAnsi="Arial" w:cs="Arial"/>
        </w:rPr>
        <w:t>Another option is shown in</w:t>
      </w:r>
      <w:r w:rsidR="00FE4725">
        <w:rPr>
          <w:rFonts w:ascii="Arial" w:hAnsi="Arial" w:cs="Arial"/>
        </w:rPr>
        <w:t xml:space="preserve"> Figure 3</w:t>
      </w:r>
      <w:r w:rsidRPr="003C3DD3">
        <w:rPr>
          <w:rFonts w:ascii="Arial" w:hAnsi="Arial" w:cs="Arial"/>
        </w:rPr>
        <w:t>: Donor 1 requests the Donor 2 to establish a connection towards top-level I</w:t>
      </w:r>
      <w:r w:rsidR="003C3DD3">
        <w:rPr>
          <w:rFonts w:ascii="Arial" w:hAnsi="Arial" w:cs="Arial"/>
        </w:rPr>
        <w:t xml:space="preserve">ABa node </w:t>
      </w:r>
      <w:r w:rsidRPr="003C3DD3">
        <w:rPr>
          <w:rFonts w:ascii="Arial" w:hAnsi="Arial" w:cs="Arial"/>
        </w:rPr>
        <w:t xml:space="preserve">in a “tunnel” mode, where Donor 2 would act as a proxy for traffic between some of the migrated nodes and UEs and Donor 1. This means that the control remains in the CU_1.  In other words, a new tunnel connection is then established towards </w:t>
      </w:r>
      <w:r w:rsidR="00F2689D">
        <w:rPr>
          <w:rFonts w:ascii="Arial" w:hAnsi="Arial" w:cs="Arial"/>
        </w:rPr>
        <w:t>the top-level IAB node</w:t>
      </w:r>
      <w:r w:rsidRPr="003C3DD3">
        <w:rPr>
          <w:rFonts w:ascii="Arial" w:hAnsi="Arial" w:cs="Arial"/>
        </w:rPr>
        <w:t xml:space="preserve"> and part of the traffic can then be routed through CU_2 which allows offloading the Uu interface of the </w:t>
      </w:r>
      <w:r w:rsidR="00F2689D">
        <w:rPr>
          <w:rFonts w:ascii="Arial" w:hAnsi="Arial" w:cs="Arial"/>
        </w:rPr>
        <w:t>top-level IAB node</w:t>
      </w:r>
      <w:r w:rsidRPr="003C3DD3">
        <w:rPr>
          <w:rFonts w:ascii="Arial" w:hAnsi="Arial" w:cs="Arial"/>
        </w:rPr>
        <w:t xml:space="preserve"> in the CU_1.  Part of the traffic would then be carried over CU_2 and tunnelled to CU_1 and the other part of the traffic would be directly carried over Uu in CU_1.</w:t>
      </w:r>
    </w:p>
    <w:p w14:paraId="1DDA33A2" w14:textId="0D821D28" w:rsidR="00683EC7" w:rsidRPr="003C3DD3" w:rsidRDefault="00683EC7" w:rsidP="00BD2E87">
      <w:pPr>
        <w:jc w:val="both"/>
        <w:rPr>
          <w:rFonts w:ascii="Arial" w:hAnsi="Arial" w:cs="Arial"/>
        </w:rPr>
      </w:pPr>
      <w:r w:rsidRPr="003C3DD3">
        <w:rPr>
          <w:rFonts w:ascii="Arial" w:hAnsi="Arial" w:cs="Arial"/>
        </w:rPr>
        <w:t xml:space="preserve">With this type of configuration, the MT and UE context (e.g. PDCP) remain in the CU_1, which could potentially minimize reconfigurations towards UEs and other IAB nodes. When CU_1 can handle the additional load, the traffic could again be re-routed directly to CU_1. </w:t>
      </w:r>
    </w:p>
    <w:p w14:paraId="3C9AE1C8" w14:textId="1C14F373" w:rsidR="005A627C" w:rsidRDefault="00F2689D" w:rsidP="00BD2E87">
      <w:pPr>
        <w:jc w:val="both"/>
        <w:rPr>
          <w:rFonts w:ascii="Arial" w:hAnsi="Arial" w:cs="Arial"/>
        </w:rPr>
      </w:pPr>
      <w:r>
        <w:rPr>
          <w:rFonts w:ascii="Arial" w:hAnsi="Arial" w:cs="Arial"/>
        </w:rPr>
        <w:t>In case</w:t>
      </w:r>
      <w:r w:rsidR="007B16B0">
        <w:rPr>
          <w:rFonts w:ascii="Arial" w:hAnsi="Arial" w:cs="Arial"/>
        </w:rPr>
        <w:t>,</w:t>
      </w:r>
      <w:r w:rsidR="00683EC7" w:rsidRPr="003C3DD3">
        <w:rPr>
          <w:rFonts w:ascii="Arial" w:hAnsi="Arial" w:cs="Arial"/>
        </w:rPr>
        <w:t xml:space="preserve"> the load </w:t>
      </w:r>
      <w:r w:rsidR="009F420A">
        <w:rPr>
          <w:rFonts w:ascii="Arial" w:hAnsi="Arial" w:cs="Arial"/>
        </w:rPr>
        <w:t xml:space="preserve">carried via CU_1 </w:t>
      </w:r>
      <w:r w:rsidR="00683EC7" w:rsidRPr="003C3DD3">
        <w:rPr>
          <w:rFonts w:ascii="Arial" w:hAnsi="Arial" w:cs="Arial"/>
        </w:rPr>
        <w:t xml:space="preserve">keeps </w:t>
      </w:r>
      <w:r w:rsidR="001B6791">
        <w:rPr>
          <w:rFonts w:ascii="Arial" w:hAnsi="Arial" w:cs="Arial"/>
        </w:rPr>
        <w:t>growing</w:t>
      </w:r>
      <w:r>
        <w:rPr>
          <w:rFonts w:ascii="Arial" w:hAnsi="Arial" w:cs="Arial"/>
        </w:rPr>
        <w:t>, i</w:t>
      </w:r>
      <w:r w:rsidRPr="003C3DD3">
        <w:rPr>
          <w:rFonts w:ascii="Arial" w:hAnsi="Arial" w:cs="Arial"/>
        </w:rPr>
        <w:t>t could be possible to reconfigure as suggested in Figure 2</w:t>
      </w:r>
      <w:r>
        <w:rPr>
          <w:rFonts w:ascii="Arial" w:hAnsi="Arial" w:cs="Arial"/>
        </w:rPr>
        <w:t xml:space="preserve">, so that the </w:t>
      </w:r>
      <w:r w:rsidR="00683EC7" w:rsidRPr="003C3DD3">
        <w:rPr>
          <w:rFonts w:ascii="Arial" w:hAnsi="Arial" w:cs="Arial"/>
        </w:rPr>
        <w:t>load would, then, be moved gradually towards Donor 2.</w:t>
      </w:r>
    </w:p>
    <w:p w14:paraId="3EC4232A" w14:textId="3918F877" w:rsidR="0039355B" w:rsidRDefault="0039355B" w:rsidP="00BD2E87">
      <w:pPr>
        <w:jc w:val="both"/>
        <w:rPr>
          <w:rFonts w:ascii="Arial" w:hAnsi="Arial" w:cs="Arial"/>
        </w:rPr>
      </w:pPr>
      <w:r>
        <w:rPr>
          <w:rFonts w:ascii="Arial" w:hAnsi="Arial" w:cs="Arial"/>
        </w:rPr>
        <w:t xml:space="preserve">The discussion on which type of inter-CU migration scenario to consider depends on RAN3 decisions. However, their choice has obvious consequences in the RAN2. </w:t>
      </w:r>
    </w:p>
    <w:p w14:paraId="13FABE05" w14:textId="0E6D7B1E" w:rsidR="008B5B59" w:rsidRDefault="008B5B59" w:rsidP="008B5B59">
      <w:pPr>
        <w:pStyle w:val="Proposal"/>
        <w:rPr>
          <w:rFonts w:cs="Arial"/>
        </w:rPr>
      </w:pPr>
      <w:bookmarkStart w:id="15" w:name="_Toc47646175"/>
      <w:r w:rsidRPr="008B5B59">
        <w:rPr>
          <w:rFonts w:cs="Arial"/>
        </w:rPr>
        <w:t>RAN</w:t>
      </w:r>
      <w:r>
        <w:rPr>
          <w:rFonts w:cs="Arial"/>
        </w:rPr>
        <w:t>2</w:t>
      </w:r>
      <w:r w:rsidRPr="008B5B59">
        <w:rPr>
          <w:rFonts w:cs="Arial"/>
        </w:rPr>
        <w:t xml:space="preserve"> to study inter-donor migration mechanisms</w:t>
      </w:r>
      <w:r w:rsidR="0005529A">
        <w:rPr>
          <w:rFonts w:cs="Arial"/>
        </w:rPr>
        <w:t xml:space="preserve"> </w:t>
      </w:r>
      <w:r w:rsidRPr="008B5B59">
        <w:rPr>
          <w:rFonts w:cs="Arial"/>
        </w:rPr>
        <w:t xml:space="preserve">the connection </w:t>
      </w:r>
      <w:r w:rsidR="0093196B">
        <w:rPr>
          <w:rFonts w:cs="Arial"/>
        </w:rPr>
        <w:t xml:space="preserve">of top-level node </w:t>
      </w:r>
      <w:r w:rsidRPr="008B5B59">
        <w:rPr>
          <w:rFonts w:cs="Arial"/>
        </w:rPr>
        <w:t>to the source donor</w:t>
      </w:r>
      <w:r w:rsidR="0005529A">
        <w:rPr>
          <w:rFonts w:cs="Arial"/>
        </w:rPr>
        <w:t xml:space="preserve"> is maintained</w:t>
      </w:r>
      <w:r w:rsidRPr="008B5B59">
        <w:rPr>
          <w:rFonts w:cs="Arial"/>
        </w:rPr>
        <w:t>.</w:t>
      </w:r>
      <w:bookmarkEnd w:id="15"/>
    </w:p>
    <w:p w14:paraId="7DFFF46D" w14:textId="21D87486" w:rsidR="008B5B59" w:rsidRPr="008B5B59" w:rsidRDefault="008B5B59" w:rsidP="008B5B59">
      <w:pPr>
        <w:pStyle w:val="Proposal"/>
        <w:rPr>
          <w:rFonts w:cs="Arial"/>
        </w:rPr>
      </w:pPr>
      <w:bookmarkStart w:id="16" w:name="_Toc47646176"/>
      <w:r>
        <w:t>RAN2 to study inter-donor migration mechanisms where the IAB nodes and UEs that need to be migrated are gradually migrated to the target CU, in order to avoid a signalling storm</w:t>
      </w:r>
      <w:r w:rsidR="004F5196">
        <w:t>.</w:t>
      </w:r>
      <w:bookmarkEnd w:id="16"/>
    </w:p>
    <w:p w14:paraId="20A3EC42" w14:textId="76441953" w:rsidR="0050604B" w:rsidRDefault="0050604B" w:rsidP="00CC279B">
      <w:pPr>
        <w:pStyle w:val="Proposal"/>
        <w:numPr>
          <w:ilvl w:val="0"/>
          <w:numId w:val="0"/>
        </w:numPr>
      </w:pPr>
      <w:bookmarkStart w:id="17" w:name="_Hlk47631855"/>
    </w:p>
    <w:bookmarkEnd w:id="17"/>
    <w:p w14:paraId="7026E527" w14:textId="7803E581" w:rsidR="00C01F33" w:rsidRPr="007C043A" w:rsidRDefault="00846488" w:rsidP="00CE0424">
      <w:pPr>
        <w:pStyle w:val="Heading1"/>
        <w:rPr>
          <w:rFonts w:cs="Arial"/>
        </w:rPr>
      </w:pPr>
      <w:r w:rsidRPr="007C043A">
        <w:rPr>
          <w:rFonts w:cs="Arial"/>
        </w:rPr>
        <w:t>3</w:t>
      </w:r>
      <w:r w:rsidRPr="007C043A">
        <w:rPr>
          <w:rFonts w:cs="Arial"/>
        </w:rPr>
        <w:tab/>
      </w:r>
      <w:r w:rsidR="00C01F33" w:rsidRPr="007C043A">
        <w:rPr>
          <w:rFonts w:cs="Arial"/>
        </w:rPr>
        <w:t>Conclusion</w:t>
      </w:r>
    </w:p>
    <w:p w14:paraId="1220280F" w14:textId="77777777" w:rsidR="00AC3836" w:rsidRDefault="00AC3836" w:rsidP="00AC3836">
      <w:pPr>
        <w:pStyle w:val="BodyText"/>
        <w:rPr>
          <w:b/>
          <w:bCs/>
        </w:rPr>
      </w:pPr>
      <w:r>
        <w:t>In the previous sections</w:t>
      </w:r>
      <w:r w:rsidRPr="00CE0424">
        <w:t xml:space="preserve"> we </w:t>
      </w:r>
      <w:r>
        <w:t>made the following observations</w:t>
      </w:r>
      <w:r w:rsidRPr="00CE0424">
        <w:t>:</w:t>
      </w:r>
      <w:r>
        <w:rPr>
          <w:b/>
          <w:bCs/>
        </w:rPr>
        <w:t xml:space="preserve"> </w:t>
      </w:r>
    </w:p>
    <w:p w14:paraId="4C054434" w14:textId="77777777" w:rsidR="001C247B" w:rsidRDefault="00AC383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46166" w:history="1">
        <w:r w:rsidR="001C247B" w:rsidRPr="0013491E">
          <w:rPr>
            <w:rStyle w:val="Hyperlink"/>
            <w:noProof/>
          </w:rPr>
          <w:t>Observation 1</w:t>
        </w:r>
        <w:r w:rsidR="001C247B">
          <w:rPr>
            <w:rFonts w:asciiTheme="minorHAnsi" w:eastAsiaTheme="minorEastAsia" w:hAnsiTheme="minorHAnsi" w:cstheme="minorBidi"/>
            <w:b w:val="0"/>
            <w:noProof/>
            <w:sz w:val="22"/>
            <w:szCs w:val="22"/>
            <w:lang w:val="sv-SE" w:eastAsia="sv-SE"/>
          </w:rPr>
          <w:tab/>
        </w:r>
        <w:r w:rsidR="001C247B" w:rsidRPr="0013491E">
          <w:rPr>
            <w:rStyle w:val="Hyperlink"/>
            <w:noProof/>
          </w:rPr>
          <w:t>Unlike mobility, inter-CU migration (i.e. topology adaptation) is not time-critical.</w:t>
        </w:r>
      </w:hyperlink>
    </w:p>
    <w:p w14:paraId="0116652C"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67" w:history="1">
        <w:r w:rsidR="001C247B" w:rsidRPr="0013491E">
          <w:rPr>
            <w:rStyle w:val="Hyperlink"/>
            <w:noProof/>
          </w:rPr>
          <w:t>Observation 2</w:t>
        </w:r>
        <w:r w:rsidR="001C247B">
          <w:rPr>
            <w:rFonts w:asciiTheme="minorHAnsi" w:eastAsiaTheme="minorEastAsia" w:hAnsiTheme="minorHAnsi" w:cstheme="minorBidi"/>
            <w:b w:val="0"/>
            <w:noProof/>
            <w:sz w:val="22"/>
            <w:szCs w:val="22"/>
            <w:lang w:val="sv-SE" w:eastAsia="sv-SE"/>
          </w:rPr>
          <w:tab/>
        </w:r>
        <w:r w:rsidR="001C247B" w:rsidRPr="0013491E">
          <w:rPr>
            <w:rStyle w:val="Hyperlink"/>
            <w:noProof/>
          </w:rPr>
          <w:t>Topology adaptation will mainly be used for load balancing, which means only a fraction of the traffic will be carried by another/new donor-node.</w:t>
        </w:r>
      </w:hyperlink>
    </w:p>
    <w:p w14:paraId="5333FA23"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68" w:history="1">
        <w:r w:rsidR="001C247B" w:rsidRPr="0013491E">
          <w:rPr>
            <w:rStyle w:val="Hyperlink"/>
            <w:noProof/>
          </w:rPr>
          <w:t>Observation 3</w:t>
        </w:r>
        <w:r w:rsidR="001C247B">
          <w:rPr>
            <w:rFonts w:asciiTheme="minorHAnsi" w:eastAsiaTheme="minorEastAsia" w:hAnsiTheme="minorHAnsi" w:cstheme="minorBidi"/>
            <w:b w:val="0"/>
            <w:noProof/>
            <w:sz w:val="22"/>
            <w:szCs w:val="22"/>
            <w:lang w:val="sv-SE" w:eastAsia="sv-SE"/>
          </w:rPr>
          <w:tab/>
        </w:r>
        <w:r w:rsidR="001C247B" w:rsidRPr="0013491E">
          <w:rPr>
            <w:rStyle w:val="Hyperlink"/>
            <w:noProof/>
          </w:rPr>
          <w:t>Consequently, the connection to the first CU will typically be maintained even after connected to another CU.</w:t>
        </w:r>
      </w:hyperlink>
    </w:p>
    <w:p w14:paraId="0C0FF08E"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69" w:history="1">
        <w:r w:rsidR="001C247B" w:rsidRPr="0013491E">
          <w:rPr>
            <w:rStyle w:val="Hyperlink"/>
            <w:noProof/>
          </w:rPr>
          <w:t>Observation 4</w:t>
        </w:r>
        <w:r w:rsidR="001C247B">
          <w:rPr>
            <w:rFonts w:asciiTheme="minorHAnsi" w:eastAsiaTheme="minorEastAsia" w:hAnsiTheme="minorHAnsi" w:cstheme="minorBidi"/>
            <w:b w:val="0"/>
            <w:noProof/>
            <w:sz w:val="22"/>
            <w:szCs w:val="22"/>
            <w:lang w:val="sv-SE" w:eastAsia="sv-SE"/>
          </w:rPr>
          <w:tab/>
        </w:r>
        <w:r w:rsidR="001C247B" w:rsidRPr="0013491E">
          <w:rPr>
            <w:rStyle w:val="Hyperlink"/>
            <w:noProof/>
          </w:rPr>
          <w:t>Inter-CU migration solutions should be transparent as far as possible and should not incur massive simultaneous reconfigurations.</w:t>
        </w:r>
      </w:hyperlink>
    </w:p>
    <w:p w14:paraId="5A8C1C60"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70" w:history="1">
        <w:r w:rsidR="001C247B" w:rsidRPr="0013491E">
          <w:rPr>
            <w:rStyle w:val="Hyperlink"/>
            <w:noProof/>
          </w:rPr>
          <w:t>Observation 5</w:t>
        </w:r>
        <w:r w:rsidR="001C247B">
          <w:rPr>
            <w:rFonts w:asciiTheme="minorHAnsi" w:eastAsiaTheme="minorEastAsia" w:hAnsiTheme="minorHAnsi" w:cstheme="minorBidi"/>
            <w:b w:val="0"/>
            <w:noProof/>
            <w:sz w:val="22"/>
            <w:szCs w:val="22"/>
            <w:lang w:val="sv-SE" w:eastAsia="sv-SE"/>
          </w:rPr>
          <w:tab/>
        </w:r>
        <w:r w:rsidR="001C247B" w:rsidRPr="0013491E">
          <w:rPr>
            <w:rStyle w:val="Hyperlink"/>
            <w:noProof/>
          </w:rPr>
          <w:t>A “classic handover” on a top-level node and its descendant nodes and UEs means that 100% of the traffic carried over that node is moved to another donor.</w:t>
        </w:r>
      </w:hyperlink>
    </w:p>
    <w:p w14:paraId="4C296FD5"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71" w:history="1">
        <w:r w:rsidR="001C247B" w:rsidRPr="0013491E">
          <w:rPr>
            <w:rStyle w:val="Hyperlink"/>
            <w:noProof/>
          </w:rPr>
          <w:t>Observation 6</w:t>
        </w:r>
        <w:r w:rsidR="001C247B">
          <w:rPr>
            <w:rFonts w:asciiTheme="minorHAnsi" w:eastAsiaTheme="minorEastAsia" w:hAnsiTheme="minorHAnsi" w:cstheme="minorBidi"/>
            <w:b w:val="0"/>
            <w:noProof/>
            <w:sz w:val="22"/>
            <w:szCs w:val="22"/>
            <w:lang w:val="sv-SE" w:eastAsia="sv-SE"/>
          </w:rPr>
          <w:tab/>
        </w:r>
        <w:r w:rsidR="001C247B" w:rsidRPr="0013491E">
          <w:rPr>
            <w:rStyle w:val="Hyperlink"/>
            <w:noProof/>
          </w:rPr>
          <w:t xml:space="preserve">It will be extremely challenging for a network to execute, in parallel, the handover and reconfigurations of many </w:t>
        </w:r>
        <w:r w:rsidR="001C247B" w:rsidRPr="0013491E">
          <w:rPr>
            <w:rStyle w:val="Hyperlink"/>
            <w:rFonts w:cstheme="minorHAnsi"/>
            <w:noProof/>
          </w:rPr>
          <w:t>migrating IAB nodes and served UEs.</w:t>
        </w:r>
      </w:hyperlink>
    </w:p>
    <w:p w14:paraId="77820DEE" w14:textId="6CB419DD" w:rsidR="00AC3836" w:rsidRDefault="00AC3836" w:rsidP="00AC3836">
      <w:pPr>
        <w:pStyle w:val="BodyText"/>
        <w:rPr>
          <w:b/>
          <w:bCs/>
        </w:rPr>
      </w:pPr>
      <w:r>
        <w:rPr>
          <w:b/>
          <w:bCs/>
        </w:rPr>
        <w:fldChar w:fldCharType="end"/>
      </w:r>
    </w:p>
    <w:p w14:paraId="535D6C81" w14:textId="77777777" w:rsidR="00AC3836" w:rsidRDefault="00AC3836" w:rsidP="00AC3836">
      <w:pPr>
        <w:pStyle w:val="BodyText"/>
      </w:pPr>
      <w:r w:rsidRPr="00CE0424">
        <w:t xml:space="preserve">Based on the discussion in </w:t>
      </w:r>
      <w:r>
        <w:t xml:space="preserve">the previous </w:t>
      </w:r>
      <w:r w:rsidRPr="00CE0424">
        <w:t>section</w:t>
      </w:r>
      <w:r>
        <w:t>s</w:t>
      </w:r>
      <w:r w:rsidRPr="00CE0424">
        <w:t xml:space="preserve"> we propose the following:</w:t>
      </w:r>
    </w:p>
    <w:p w14:paraId="0AAF8C5F" w14:textId="77777777" w:rsidR="001C247B" w:rsidRDefault="00AC383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46172" w:history="1">
        <w:r w:rsidR="001C247B" w:rsidRPr="005449EC">
          <w:rPr>
            <w:rStyle w:val="Hyperlink"/>
            <w:rFonts w:cs="Arial"/>
            <w:noProof/>
          </w:rPr>
          <w:t>Proposal 1</w:t>
        </w:r>
        <w:r w:rsidR="001C247B">
          <w:rPr>
            <w:rFonts w:asciiTheme="minorHAnsi" w:eastAsiaTheme="minorEastAsia" w:hAnsiTheme="minorHAnsi" w:cstheme="minorBidi"/>
            <w:b w:val="0"/>
            <w:noProof/>
            <w:sz w:val="22"/>
            <w:szCs w:val="22"/>
            <w:lang w:val="sv-SE" w:eastAsia="sv-SE"/>
          </w:rPr>
          <w:tab/>
        </w:r>
        <w:r w:rsidR="001C247B" w:rsidRPr="005449EC">
          <w:rPr>
            <w:rStyle w:val="Hyperlink"/>
            <w:noProof/>
          </w:rPr>
          <w:t>RAN2 should consider load balancing of some of the traffic served by an IAB node as the primary use case for the Rel-17 inter-CU migration</w:t>
        </w:r>
      </w:hyperlink>
    </w:p>
    <w:p w14:paraId="0BA8D44F"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73" w:history="1">
        <w:r w:rsidR="001C247B" w:rsidRPr="005449EC">
          <w:rPr>
            <w:rStyle w:val="Hyperlink"/>
            <w:rFonts w:cs="Arial"/>
            <w:noProof/>
          </w:rPr>
          <w:t>Proposal 2</w:t>
        </w:r>
        <w:r w:rsidR="001C247B">
          <w:rPr>
            <w:rFonts w:asciiTheme="minorHAnsi" w:eastAsiaTheme="minorEastAsia" w:hAnsiTheme="minorHAnsi" w:cstheme="minorBidi"/>
            <w:b w:val="0"/>
            <w:noProof/>
            <w:sz w:val="22"/>
            <w:szCs w:val="22"/>
            <w:lang w:val="sv-SE" w:eastAsia="sv-SE"/>
          </w:rPr>
          <w:tab/>
        </w:r>
        <w:r w:rsidR="001C247B" w:rsidRPr="005449EC">
          <w:rPr>
            <w:rStyle w:val="Hyperlink"/>
            <w:noProof/>
          </w:rPr>
          <w:t>Inter-CU migration solutions should avoid massive reconfigurations and minimize the signalling load.</w:t>
        </w:r>
      </w:hyperlink>
    </w:p>
    <w:p w14:paraId="66E58C3A"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74" w:history="1">
        <w:r w:rsidR="001C247B" w:rsidRPr="005449EC">
          <w:rPr>
            <w:rStyle w:val="Hyperlink"/>
            <w:rFonts w:cs="Arial"/>
            <w:noProof/>
          </w:rPr>
          <w:t>Proposal 3</w:t>
        </w:r>
        <w:r w:rsidR="001C247B">
          <w:rPr>
            <w:rFonts w:asciiTheme="minorHAnsi" w:eastAsiaTheme="minorEastAsia" w:hAnsiTheme="minorHAnsi" w:cstheme="minorBidi"/>
            <w:b w:val="0"/>
            <w:noProof/>
            <w:sz w:val="22"/>
            <w:szCs w:val="22"/>
            <w:lang w:val="sv-SE" w:eastAsia="sv-SE"/>
          </w:rPr>
          <w:tab/>
        </w:r>
        <w:r w:rsidR="001C247B" w:rsidRPr="005449EC">
          <w:rPr>
            <w:rStyle w:val="Hyperlink"/>
            <w:rFonts w:cs="Arial"/>
            <w:noProof/>
            <w:lang w:eastAsia="ja-JP"/>
          </w:rPr>
          <w:t xml:space="preserve">RAN2 to de-prioritize the “classic” approach for inter-donor migration, where the migrating IAB nodes and UEs are completely handed over to the target concurrently, </w:t>
        </w:r>
        <w:r w:rsidR="001C247B" w:rsidRPr="005449EC">
          <w:rPr>
            <w:rStyle w:val="Hyperlink"/>
            <w:rFonts w:cs="Arial"/>
            <w:noProof/>
          </w:rPr>
          <w:t>and the connections to the source are torn down.</w:t>
        </w:r>
      </w:hyperlink>
    </w:p>
    <w:p w14:paraId="0F416963"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75" w:history="1">
        <w:r w:rsidR="001C247B" w:rsidRPr="005449EC">
          <w:rPr>
            <w:rStyle w:val="Hyperlink"/>
            <w:rFonts w:cs="Arial"/>
            <w:noProof/>
          </w:rPr>
          <w:t>Proposal 4</w:t>
        </w:r>
        <w:r w:rsidR="001C247B">
          <w:rPr>
            <w:rFonts w:asciiTheme="minorHAnsi" w:eastAsiaTheme="minorEastAsia" w:hAnsiTheme="minorHAnsi" w:cstheme="minorBidi"/>
            <w:b w:val="0"/>
            <w:noProof/>
            <w:sz w:val="22"/>
            <w:szCs w:val="22"/>
            <w:lang w:val="sv-SE" w:eastAsia="sv-SE"/>
          </w:rPr>
          <w:tab/>
        </w:r>
        <w:r w:rsidR="001C247B" w:rsidRPr="005449EC">
          <w:rPr>
            <w:rStyle w:val="Hyperlink"/>
            <w:rFonts w:cs="Arial"/>
            <w:noProof/>
          </w:rPr>
          <w:t>RAN2 to study inter-donor migration mechanisms the connection of top-level node to the source donor is maintained.</w:t>
        </w:r>
      </w:hyperlink>
    </w:p>
    <w:p w14:paraId="5B74A60C" w14:textId="77777777" w:rsidR="001C247B" w:rsidRDefault="000E7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46176" w:history="1">
        <w:r w:rsidR="001C247B" w:rsidRPr="005449EC">
          <w:rPr>
            <w:rStyle w:val="Hyperlink"/>
            <w:rFonts w:cs="Arial"/>
            <w:noProof/>
          </w:rPr>
          <w:t>Proposal 5</w:t>
        </w:r>
        <w:r w:rsidR="001C247B">
          <w:rPr>
            <w:rFonts w:asciiTheme="minorHAnsi" w:eastAsiaTheme="minorEastAsia" w:hAnsiTheme="minorHAnsi" w:cstheme="minorBidi"/>
            <w:b w:val="0"/>
            <w:noProof/>
            <w:sz w:val="22"/>
            <w:szCs w:val="22"/>
            <w:lang w:val="sv-SE" w:eastAsia="sv-SE"/>
          </w:rPr>
          <w:tab/>
        </w:r>
        <w:r w:rsidR="001C247B" w:rsidRPr="005449EC">
          <w:rPr>
            <w:rStyle w:val="Hyperlink"/>
            <w:noProof/>
          </w:rPr>
          <w:t>RAN2 to study inter-donor migration mechanisms where the IAB nodes and UEs that need to be migrated are gradually migrated to the target CU, in order to avoid a signalling storm.</w:t>
        </w:r>
      </w:hyperlink>
    </w:p>
    <w:p w14:paraId="2BEF583F" w14:textId="25130536" w:rsidR="003A7EF3" w:rsidRPr="005A0EB4" w:rsidRDefault="00AC3836" w:rsidP="005A0EB4">
      <w:pPr>
        <w:rPr>
          <w:b/>
          <w:bCs/>
        </w:rPr>
      </w:pPr>
      <w:r>
        <w:rPr>
          <w:b/>
          <w:bCs/>
          <w:lang w:val="en-US"/>
        </w:rPr>
        <w:fldChar w:fldCharType="end"/>
      </w:r>
    </w:p>
    <w:sectPr w:rsidR="003A7EF3" w:rsidRPr="005A0EB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10C2B" w14:textId="77777777" w:rsidR="00410F36" w:rsidRDefault="00410F36">
      <w:r>
        <w:separator/>
      </w:r>
    </w:p>
  </w:endnote>
  <w:endnote w:type="continuationSeparator" w:id="0">
    <w:p w14:paraId="52F3DBA6" w14:textId="77777777" w:rsidR="00410F36" w:rsidRDefault="00410F36">
      <w:r>
        <w:continuationSeparator/>
      </w:r>
    </w:p>
  </w:endnote>
  <w:endnote w:type="continuationNotice" w:id="1">
    <w:p w14:paraId="203E257A" w14:textId="77777777" w:rsidR="00410F36" w:rsidRDefault="00410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DD3C8F" w:rsidRDefault="00DD3C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5379F" w14:textId="77777777" w:rsidR="00410F36" w:rsidRDefault="00410F36">
      <w:r>
        <w:separator/>
      </w:r>
    </w:p>
  </w:footnote>
  <w:footnote w:type="continuationSeparator" w:id="0">
    <w:p w14:paraId="41CDE345" w14:textId="77777777" w:rsidR="00410F36" w:rsidRDefault="00410F36">
      <w:r>
        <w:continuationSeparator/>
      </w:r>
    </w:p>
  </w:footnote>
  <w:footnote w:type="continuationNotice" w:id="1">
    <w:p w14:paraId="6E3EE6D4" w14:textId="77777777" w:rsidR="00410F36" w:rsidRDefault="00410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DD3C8F" w:rsidRDefault="00DD3C8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C810BF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5C083A86"/>
    <w:lvl w:ilvl="0" w:tplc="99FCE71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9"/>
  </w:num>
  <w:num w:numId="18">
    <w:abstractNumId w:val="10"/>
  </w:num>
  <w:num w:numId="19">
    <w:abstractNumId w:val="6"/>
  </w:num>
  <w:num w:numId="20">
    <w:abstractNumId w:val="30"/>
  </w:num>
  <w:num w:numId="21">
    <w:abstractNumId w:val="14"/>
  </w:num>
  <w:num w:numId="22">
    <w:abstractNumId w:val="29"/>
  </w:num>
  <w:num w:numId="23">
    <w:abstractNumId w:val="7"/>
  </w:num>
  <w:num w:numId="24">
    <w:abstractNumId w:val="25"/>
  </w:num>
  <w:num w:numId="25">
    <w:abstractNumId w:val="8"/>
  </w:num>
  <w:num w:numId="26">
    <w:abstractNumId w:val="28"/>
  </w:num>
  <w:num w:numId="27">
    <w:abstractNumId w:val="5"/>
  </w:num>
  <w:num w:numId="28">
    <w:abstractNumId w:val="26"/>
  </w:num>
  <w:num w:numId="29">
    <w:abstractNumId w:val="17"/>
  </w:num>
  <w:num w:numId="30">
    <w:abstractNumId w:val="27"/>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86"/>
    <w:rsid w:val="000029B2"/>
    <w:rsid w:val="00002A37"/>
    <w:rsid w:val="0000383C"/>
    <w:rsid w:val="000048F7"/>
    <w:rsid w:val="0000564C"/>
    <w:rsid w:val="00006446"/>
    <w:rsid w:val="00006896"/>
    <w:rsid w:val="00007AF8"/>
    <w:rsid w:val="00007CDC"/>
    <w:rsid w:val="000105CE"/>
    <w:rsid w:val="00011B28"/>
    <w:rsid w:val="00013AE2"/>
    <w:rsid w:val="00014A85"/>
    <w:rsid w:val="00015D15"/>
    <w:rsid w:val="00017D0D"/>
    <w:rsid w:val="00024CC8"/>
    <w:rsid w:val="00024F27"/>
    <w:rsid w:val="0002564D"/>
    <w:rsid w:val="00025ECA"/>
    <w:rsid w:val="0002684B"/>
    <w:rsid w:val="00027C1D"/>
    <w:rsid w:val="00031BD0"/>
    <w:rsid w:val="000325B8"/>
    <w:rsid w:val="00033D1C"/>
    <w:rsid w:val="00034C15"/>
    <w:rsid w:val="00036BA1"/>
    <w:rsid w:val="000422E2"/>
    <w:rsid w:val="0004245E"/>
    <w:rsid w:val="00042F22"/>
    <w:rsid w:val="000444EF"/>
    <w:rsid w:val="00052A07"/>
    <w:rsid w:val="00052A54"/>
    <w:rsid w:val="000534E3"/>
    <w:rsid w:val="0005529A"/>
    <w:rsid w:val="0005606A"/>
    <w:rsid w:val="00057117"/>
    <w:rsid w:val="00060919"/>
    <w:rsid w:val="000616E7"/>
    <w:rsid w:val="00061875"/>
    <w:rsid w:val="000644F3"/>
    <w:rsid w:val="000647D1"/>
    <w:rsid w:val="0006487E"/>
    <w:rsid w:val="00065E1A"/>
    <w:rsid w:val="000719EB"/>
    <w:rsid w:val="0007363E"/>
    <w:rsid w:val="000759A6"/>
    <w:rsid w:val="00077E5F"/>
    <w:rsid w:val="0008036A"/>
    <w:rsid w:val="00081AE6"/>
    <w:rsid w:val="000839A0"/>
    <w:rsid w:val="000855EB"/>
    <w:rsid w:val="00085B52"/>
    <w:rsid w:val="000866F2"/>
    <w:rsid w:val="0009009F"/>
    <w:rsid w:val="00090274"/>
    <w:rsid w:val="00091557"/>
    <w:rsid w:val="000924C1"/>
    <w:rsid w:val="000924F0"/>
    <w:rsid w:val="00092C11"/>
    <w:rsid w:val="00093474"/>
    <w:rsid w:val="00093B44"/>
    <w:rsid w:val="000941A0"/>
    <w:rsid w:val="0009510F"/>
    <w:rsid w:val="000958D4"/>
    <w:rsid w:val="0009690D"/>
    <w:rsid w:val="000A1B7B"/>
    <w:rsid w:val="000A3A3A"/>
    <w:rsid w:val="000A4CED"/>
    <w:rsid w:val="000A56F2"/>
    <w:rsid w:val="000A68A5"/>
    <w:rsid w:val="000B08C3"/>
    <w:rsid w:val="000B0C53"/>
    <w:rsid w:val="000B2719"/>
    <w:rsid w:val="000B3A8F"/>
    <w:rsid w:val="000B4592"/>
    <w:rsid w:val="000B47D3"/>
    <w:rsid w:val="000B4AB9"/>
    <w:rsid w:val="000B58C3"/>
    <w:rsid w:val="000B5C6E"/>
    <w:rsid w:val="000B61E9"/>
    <w:rsid w:val="000C08AD"/>
    <w:rsid w:val="000C165A"/>
    <w:rsid w:val="000C1A65"/>
    <w:rsid w:val="000C2E19"/>
    <w:rsid w:val="000C3794"/>
    <w:rsid w:val="000D014C"/>
    <w:rsid w:val="000D0D07"/>
    <w:rsid w:val="000D1DA1"/>
    <w:rsid w:val="000D2D89"/>
    <w:rsid w:val="000D4539"/>
    <w:rsid w:val="000D4797"/>
    <w:rsid w:val="000D5889"/>
    <w:rsid w:val="000D74E1"/>
    <w:rsid w:val="000D7FAB"/>
    <w:rsid w:val="000E0527"/>
    <w:rsid w:val="000E1E92"/>
    <w:rsid w:val="000E2E0F"/>
    <w:rsid w:val="000E7DFB"/>
    <w:rsid w:val="000E7FF9"/>
    <w:rsid w:val="000F06D6"/>
    <w:rsid w:val="000F0EB1"/>
    <w:rsid w:val="000F1106"/>
    <w:rsid w:val="000F1E27"/>
    <w:rsid w:val="000F3BE9"/>
    <w:rsid w:val="000F3F6C"/>
    <w:rsid w:val="000F5CD0"/>
    <w:rsid w:val="000F6DF3"/>
    <w:rsid w:val="001005FF"/>
    <w:rsid w:val="001006E4"/>
    <w:rsid w:val="00104E78"/>
    <w:rsid w:val="001053F5"/>
    <w:rsid w:val="001062FB"/>
    <w:rsid w:val="001063E6"/>
    <w:rsid w:val="00107E3D"/>
    <w:rsid w:val="0011012F"/>
    <w:rsid w:val="0011118F"/>
    <w:rsid w:val="00111F35"/>
    <w:rsid w:val="00113CF4"/>
    <w:rsid w:val="00113D07"/>
    <w:rsid w:val="00114994"/>
    <w:rsid w:val="001153EA"/>
    <w:rsid w:val="00115643"/>
    <w:rsid w:val="00116765"/>
    <w:rsid w:val="00116A44"/>
    <w:rsid w:val="001219F5"/>
    <w:rsid w:val="00121A20"/>
    <w:rsid w:val="0012211F"/>
    <w:rsid w:val="00122338"/>
    <w:rsid w:val="00122AF7"/>
    <w:rsid w:val="0012377F"/>
    <w:rsid w:val="00124314"/>
    <w:rsid w:val="00124D5D"/>
    <w:rsid w:val="00125895"/>
    <w:rsid w:val="00126B4A"/>
    <w:rsid w:val="00127692"/>
    <w:rsid w:val="00132FD0"/>
    <w:rsid w:val="00134155"/>
    <w:rsid w:val="001344C0"/>
    <w:rsid w:val="001346FA"/>
    <w:rsid w:val="00134907"/>
    <w:rsid w:val="00134FD1"/>
    <w:rsid w:val="00135252"/>
    <w:rsid w:val="001355F1"/>
    <w:rsid w:val="00137AB5"/>
    <w:rsid w:val="00137F0B"/>
    <w:rsid w:val="001441ED"/>
    <w:rsid w:val="0014581F"/>
    <w:rsid w:val="00147583"/>
    <w:rsid w:val="001511A6"/>
    <w:rsid w:val="001516A6"/>
    <w:rsid w:val="00151E23"/>
    <w:rsid w:val="001526E0"/>
    <w:rsid w:val="001540C4"/>
    <w:rsid w:val="001551B5"/>
    <w:rsid w:val="0015637E"/>
    <w:rsid w:val="001564F3"/>
    <w:rsid w:val="00156A8E"/>
    <w:rsid w:val="00157BB3"/>
    <w:rsid w:val="001616B7"/>
    <w:rsid w:val="00161F94"/>
    <w:rsid w:val="001659C1"/>
    <w:rsid w:val="00170A68"/>
    <w:rsid w:val="00173A8E"/>
    <w:rsid w:val="0017488F"/>
    <w:rsid w:val="0017502C"/>
    <w:rsid w:val="0017512D"/>
    <w:rsid w:val="00175510"/>
    <w:rsid w:val="00175D3E"/>
    <w:rsid w:val="00180215"/>
    <w:rsid w:val="0018143F"/>
    <w:rsid w:val="00181FF8"/>
    <w:rsid w:val="0018614B"/>
    <w:rsid w:val="0018671D"/>
    <w:rsid w:val="00190AC1"/>
    <w:rsid w:val="00190F2B"/>
    <w:rsid w:val="00192AE7"/>
    <w:rsid w:val="00192BA3"/>
    <w:rsid w:val="0019341A"/>
    <w:rsid w:val="00193C7E"/>
    <w:rsid w:val="00197DF9"/>
    <w:rsid w:val="001A1573"/>
    <w:rsid w:val="001A1987"/>
    <w:rsid w:val="001A242C"/>
    <w:rsid w:val="001A2564"/>
    <w:rsid w:val="001A6173"/>
    <w:rsid w:val="001A6B3A"/>
    <w:rsid w:val="001A6CBA"/>
    <w:rsid w:val="001B0D97"/>
    <w:rsid w:val="001B2CBE"/>
    <w:rsid w:val="001B5A5D"/>
    <w:rsid w:val="001B6791"/>
    <w:rsid w:val="001B7343"/>
    <w:rsid w:val="001B7D4F"/>
    <w:rsid w:val="001C01F8"/>
    <w:rsid w:val="001C0A4A"/>
    <w:rsid w:val="001C1CE5"/>
    <w:rsid w:val="001C247B"/>
    <w:rsid w:val="001C2B65"/>
    <w:rsid w:val="001C3D2A"/>
    <w:rsid w:val="001C616E"/>
    <w:rsid w:val="001C7C30"/>
    <w:rsid w:val="001D0083"/>
    <w:rsid w:val="001D4C1B"/>
    <w:rsid w:val="001D51BA"/>
    <w:rsid w:val="001D53E7"/>
    <w:rsid w:val="001D54A8"/>
    <w:rsid w:val="001D6342"/>
    <w:rsid w:val="001D6D53"/>
    <w:rsid w:val="001D74D3"/>
    <w:rsid w:val="001E3346"/>
    <w:rsid w:val="001E3B4F"/>
    <w:rsid w:val="001E58E2"/>
    <w:rsid w:val="001E7AED"/>
    <w:rsid w:val="001E7C93"/>
    <w:rsid w:val="001F3916"/>
    <w:rsid w:val="001F4235"/>
    <w:rsid w:val="001F54C5"/>
    <w:rsid w:val="001F662C"/>
    <w:rsid w:val="001F7074"/>
    <w:rsid w:val="001F7D12"/>
    <w:rsid w:val="00200490"/>
    <w:rsid w:val="00201F3A"/>
    <w:rsid w:val="0020213B"/>
    <w:rsid w:val="00203F96"/>
    <w:rsid w:val="00204239"/>
    <w:rsid w:val="0020476C"/>
    <w:rsid w:val="00205A7C"/>
    <w:rsid w:val="002069B2"/>
    <w:rsid w:val="00206A5F"/>
    <w:rsid w:val="0020742F"/>
    <w:rsid w:val="00207FA3"/>
    <w:rsid w:val="002119CF"/>
    <w:rsid w:val="00212200"/>
    <w:rsid w:val="00214DA8"/>
    <w:rsid w:val="00215305"/>
    <w:rsid w:val="00215423"/>
    <w:rsid w:val="002158FA"/>
    <w:rsid w:val="00215FA7"/>
    <w:rsid w:val="00217801"/>
    <w:rsid w:val="00220600"/>
    <w:rsid w:val="00221961"/>
    <w:rsid w:val="002224DB"/>
    <w:rsid w:val="00223FCB"/>
    <w:rsid w:val="00225298"/>
    <w:rsid w:val="002252C3"/>
    <w:rsid w:val="00225C54"/>
    <w:rsid w:val="00226117"/>
    <w:rsid w:val="00226461"/>
    <w:rsid w:val="00226DF4"/>
    <w:rsid w:val="00230765"/>
    <w:rsid w:val="00230D18"/>
    <w:rsid w:val="002319E4"/>
    <w:rsid w:val="00233633"/>
    <w:rsid w:val="00234D63"/>
    <w:rsid w:val="00235632"/>
    <w:rsid w:val="00235818"/>
    <w:rsid w:val="00235872"/>
    <w:rsid w:val="00241477"/>
    <w:rsid w:val="00241559"/>
    <w:rsid w:val="002419BA"/>
    <w:rsid w:val="0024282E"/>
    <w:rsid w:val="002435B3"/>
    <w:rsid w:val="00244E04"/>
    <w:rsid w:val="002458EB"/>
    <w:rsid w:val="00245977"/>
    <w:rsid w:val="002500C8"/>
    <w:rsid w:val="00254238"/>
    <w:rsid w:val="002570BF"/>
    <w:rsid w:val="00257543"/>
    <w:rsid w:val="00260116"/>
    <w:rsid w:val="00260669"/>
    <w:rsid w:val="0026071F"/>
    <w:rsid w:val="00261649"/>
    <w:rsid w:val="002617E7"/>
    <w:rsid w:val="00262D78"/>
    <w:rsid w:val="00264228"/>
    <w:rsid w:val="00264334"/>
    <w:rsid w:val="0026473E"/>
    <w:rsid w:val="00266214"/>
    <w:rsid w:val="00267C83"/>
    <w:rsid w:val="00267D93"/>
    <w:rsid w:val="0027144F"/>
    <w:rsid w:val="00271813"/>
    <w:rsid w:val="00271F3A"/>
    <w:rsid w:val="00273278"/>
    <w:rsid w:val="002733EC"/>
    <w:rsid w:val="002734AD"/>
    <w:rsid w:val="002737F4"/>
    <w:rsid w:val="00274DD9"/>
    <w:rsid w:val="0027770D"/>
    <w:rsid w:val="002805F5"/>
    <w:rsid w:val="00280751"/>
    <w:rsid w:val="00281E54"/>
    <w:rsid w:val="0028280A"/>
    <w:rsid w:val="00286ACD"/>
    <w:rsid w:val="00287838"/>
    <w:rsid w:val="002907B5"/>
    <w:rsid w:val="00290991"/>
    <w:rsid w:val="00291953"/>
    <w:rsid w:val="00292E90"/>
    <w:rsid w:val="00292EB7"/>
    <w:rsid w:val="00292F5C"/>
    <w:rsid w:val="002937AD"/>
    <w:rsid w:val="002949F0"/>
    <w:rsid w:val="002950C3"/>
    <w:rsid w:val="00295CF0"/>
    <w:rsid w:val="00296227"/>
    <w:rsid w:val="00296E16"/>
    <w:rsid w:val="00296F44"/>
    <w:rsid w:val="00297620"/>
    <w:rsid w:val="0029777D"/>
    <w:rsid w:val="002A055E"/>
    <w:rsid w:val="002A1D4E"/>
    <w:rsid w:val="002A2869"/>
    <w:rsid w:val="002A4DDF"/>
    <w:rsid w:val="002B24D6"/>
    <w:rsid w:val="002B268E"/>
    <w:rsid w:val="002B2E85"/>
    <w:rsid w:val="002B3CBF"/>
    <w:rsid w:val="002C1178"/>
    <w:rsid w:val="002C2D96"/>
    <w:rsid w:val="002C3C69"/>
    <w:rsid w:val="002C41E6"/>
    <w:rsid w:val="002D071A"/>
    <w:rsid w:val="002D2568"/>
    <w:rsid w:val="002D2AAE"/>
    <w:rsid w:val="002D34B2"/>
    <w:rsid w:val="002D48B0"/>
    <w:rsid w:val="002D4AE7"/>
    <w:rsid w:val="002D57D0"/>
    <w:rsid w:val="002D5B37"/>
    <w:rsid w:val="002D6E1A"/>
    <w:rsid w:val="002D7086"/>
    <w:rsid w:val="002D7637"/>
    <w:rsid w:val="002E17F2"/>
    <w:rsid w:val="002E2917"/>
    <w:rsid w:val="002E438F"/>
    <w:rsid w:val="002E50B3"/>
    <w:rsid w:val="002E5569"/>
    <w:rsid w:val="002E5A62"/>
    <w:rsid w:val="002E7CAE"/>
    <w:rsid w:val="002F1F5E"/>
    <w:rsid w:val="002F243D"/>
    <w:rsid w:val="002F2771"/>
    <w:rsid w:val="002F37A9"/>
    <w:rsid w:val="002F6FA5"/>
    <w:rsid w:val="00301CE6"/>
    <w:rsid w:val="00302221"/>
    <w:rsid w:val="0030256B"/>
    <w:rsid w:val="00303E73"/>
    <w:rsid w:val="0030501F"/>
    <w:rsid w:val="003061AE"/>
    <w:rsid w:val="00307BA1"/>
    <w:rsid w:val="00311702"/>
    <w:rsid w:val="00311E82"/>
    <w:rsid w:val="00311EC1"/>
    <w:rsid w:val="00313A43"/>
    <w:rsid w:val="00313FD6"/>
    <w:rsid w:val="003143BD"/>
    <w:rsid w:val="003147CE"/>
    <w:rsid w:val="00315363"/>
    <w:rsid w:val="00317E38"/>
    <w:rsid w:val="003203ED"/>
    <w:rsid w:val="00321576"/>
    <w:rsid w:val="00322C9F"/>
    <w:rsid w:val="00324359"/>
    <w:rsid w:val="00324D23"/>
    <w:rsid w:val="00331691"/>
    <w:rsid w:val="00331751"/>
    <w:rsid w:val="00334579"/>
    <w:rsid w:val="00335858"/>
    <w:rsid w:val="00336BDA"/>
    <w:rsid w:val="00340187"/>
    <w:rsid w:val="00340755"/>
    <w:rsid w:val="00341365"/>
    <w:rsid w:val="00342BD7"/>
    <w:rsid w:val="00342E24"/>
    <w:rsid w:val="00344749"/>
    <w:rsid w:val="00345106"/>
    <w:rsid w:val="003465D8"/>
    <w:rsid w:val="003469BC"/>
    <w:rsid w:val="00346DB5"/>
    <w:rsid w:val="003477B1"/>
    <w:rsid w:val="003525FA"/>
    <w:rsid w:val="00357380"/>
    <w:rsid w:val="003602D9"/>
    <w:rsid w:val="003604CE"/>
    <w:rsid w:val="003636D7"/>
    <w:rsid w:val="00364579"/>
    <w:rsid w:val="00366246"/>
    <w:rsid w:val="0036764C"/>
    <w:rsid w:val="003705C3"/>
    <w:rsid w:val="00370E47"/>
    <w:rsid w:val="003742AC"/>
    <w:rsid w:val="0037504C"/>
    <w:rsid w:val="00375314"/>
    <w:rsid w:val="00376044"/>
    <w:rsid w:val="0037677A"/>
    <w:rsid w:val="00377CE1"/>
    <w:rsid w:val="00382A33"/>
    <w:rsid w:val="00383506"/>
    <w:rsid w:val="003844F8"/>
    <w:rsid w:val="003847E9"/>
    <w:rsid w:val="00385BF0"/>
    <w:rsid w:val="00385D8C"/>
    <w:rsid w:val="0039093C"/>
    <w:rsid w:val="0039210A"/>
    <w:rsid w:val="0039355B"/>
    <w:rsid w:val="003939FF"/>
    <w:rsid w:val="00396B57"/>
    <w:rsid w:val="0039752F"/>
    <w:rsid w:val="003A0DC3"/>
    <w:rsid w:val="003A2223"/>
    <w:rsid w:val="003A235F"/>
    <w:rsid w:val="003A2A0F"/>
    <w:rsid w:val="003A45A1"/>
    <w:rsid w:val="003A4CB0"/>
    <w:rsid w:val="003A5B0A"/>
    <w:rsid w:val="003A63C8"/>
    <w:rsid w:val="003A6BAC"/>
    <w:rsid w:val="003A70A4"/>
    <w:rsid w:val="003A79B6"/>
    <w:rsid w:val="003A7EF3"/>
    <w:rsid w:val="003B056E"/>
    <w:rsid w:val="003B159C"/>
    <w:rsid w:val="003B369F"/>
    <w:rsid w:val="003B36A3"/>
    <w:rsid w:val="003B5517"/>
    <w:rsid w:val="003B5C4B"/>
    <w:rsid w:val="003B5CF9"/>
    <w:rsid w:val="003B60FA"/>
    <w:rsid w:val="003B64BB"/>
    <w:rsid w:val="003B6868"/>
    <w:rsid w:val="003B7FE5"/>
    <w:rsid w:val="003C11C8"/>
    <w:rsid w:val="003C223A"/>
    <w:rsid w:val="003C24D9"/>
    <w:rsid w:val="003C2702"/>
    <w:rsid w:val="003C3741"/>
    <w:rsid w:val="003C3DD3"/>
    <w:rsid w:val="003C4070"/>
    <w:rsid w:val="003C4DCB"/>
    <w:rsid w:val="003C7806"/>
    <w:rsid w:val="003D109F"/>
    <w:rsid w:val="003D2478"/>
    <w:rsid w:val="003D3C45"/>
    <w:rsid w:val="003D5B1F"/>
    <w:rsid w:val="003D624C"/>
    <w:rsid w:val="003D64B0"/>
    <w:rsid w:val="003D75EC"/>
    <w:rsid w:val="003D7DD5"/>
    <w:rsid w:val="003E0E06"/>
    <w:rsid w:val="003E15FA"/>
    <w:rsid w:val="003E3D90"/>
    <w:rsid w:val="003E55E4"/>
    <w:rsid w:val="003E576C"/>
    <w:rsid w:val="003E74E3"/>
    <w:rsid w:val="003F010F"/>
    <w:rsid w:val="003F0409"/>
    <w:rsid w:val="003F05C7"/>
    <w:rsid w:val="003F0BB9"/>
    <w:rsid w:val="003F1222"/>
    <w:rsid w:val="003F19A7"/>
    <w:rsid w:val="003F2CD4"/>
    <w:rsid w:val="003F39BC"/>
    <w:rsid w:val="003F6BBE"/>
    <w:rsid w:val="003F755D"/>
    <w:rsid w:val="003F783D"/>
    <w:rsid w:val="004000E8"/>
    <w:rsid w:val="00402E2B"/>
    <w:rsid w:val="00404405"/>
    <w:rsid w:val="0040512B"/>
    <w:rsid w:val="004051ED"/>
    <w:rsid w:val="00405CA5"/>
    <w:rsid w:val="00406D73"/>
    <w:rsid w:val="00407AB6"/>
    <w:rsid w:val="00407ADB"/>
    <w:rsid w:val="00407CD3"/>
    <w:rsid w:val="00410134"/>
    <w:rsid w:val="00410B72"/>
    <w:rsid w:val="00410BB3"/>
    <w:rsid w:val="00410F18"/>
    <w:rsid w:val="00410F36"/>
    <w:rsid w:val="00411642"/>
    <w:rsid w:val="0041263E"/>
    <w:rsid w:val="00413AAC"/>
    <w:rsid w:val="00413E92"/>
    <w:rsid w:val="00421105"/>
    <w:rsid w:val="004214A4"/>
    <w:rsid w:val="00422AA4"/>
    <w:rsid w:val="004242F4"/>
    <w:rsid w:val="0042679A"/>
    <w:rsid w:val="004267B9"/>
    <w:rsid w:val="00426FFB"/>
    <w:rsid w:val="00427248"/>
    <w:rsid w:val="004309AA"/>
    <w:rsid w:val="00430D31"/>
    <w:rsid w:val="00432526"/>
    <w:rsid w:val="00432564"/>
    <w:rsid w:val="00437447"/>
    <w:rsid w:val="00437BFD"/>
    <w:rsid w:val="0044025C"/>
    <w:rsid w:val="00441A92"/>
    <w:rsid w:val="00442A17"/>
    <w:rsid w:val="004431DC"/>
    <w:rsid w:val="004433DA"/>
    <w:rsid w:val="00443B66"/>
    <w:rsid w:val="00444F56"/>
    <w:rsid w:val="00446488"/>
    <w:rsid w:val="00450513"/>
    <w:rsid w:val="004517AA"/>
    <w:rsid w:val="0045206D"/>
    <w:rsid w:val="00452CAC"/>
    <w:rsid w:val="004534A5"/>
    <w:rsid w:val="00455988"/>
    <w:rsid w:val="00456490"/>
    <w:rsid w:val="00456F06"/>
    <w:rsid w:val="00457565"/>
    <w:rsid w:val="00457AE3"/>
    <w:rsid w:val="00457B71"/>
    <w:rsid w:val="00457D7A"/>
    <w:rsid w:val="00462D3C"/>
    <w:rsid w:val="00465781"/>
    <w:rsid w:val="004669E2"/>
    <w:rsid w:val="00467789"/>
    <w:rsid w:val="00470512"/>
    <w:rsid w:val="004705FF"/>
    <w:rsid w:val="00470C31"/>
    <w:rsid w:val="0047146A"/>
    <w:rsid w:val="00471DE0"/>
    <w:rsid w:val="004734D0"/>
    <w:rsid w:val="00474FB9"/>
    <w:rsid w:val="0047556B"/>
    <w:rsid w:val="00475673"/>
    <w:rsid w:val="00477768"/>
    <w:rsid w:val="00480DA6"/>
    <w:rsid w:val="004821EB"/>
    <w:rsid w:val="00487853"/>
    <w:rsid w:val="0049265E"/>
    <w:rsid w:val="00492BC5"/>
    <w:rsid w:val="0049422C"/>
    <w:rsid w:val="00494EDB"/>
    <w:rsid w:val="00495D48"/>
    <w:rsid w:val="004964F1"/>
    <w:rsid w:val="00497CD3"/>
    <w:rsid w:val="004A0133"/>
    <w:rsid w:val="004A0D15"/>
    <w:rsid w:val="004A16BC"/>
    <w:rsid w:val="004A2B94"/>
    <w:rsid w:val="004A4007"/>
    <w:rsid w:val="004B1F1F"/>
    <w:rsid w:val="004B6F6A"/>
    <w:rsid w:val="004B7C0C"/>
    <w:rsid w:val="004C18A7"/>
    <w:rsid w:val="004C2D6C"/>
    <w:rsid w:val="004C3898"/>
    <w:rsid w:val="004C6333"/>
    <w:rsid w:val="004C7883"/>
    <w:rsid w:val="004C7FB7"/>
    <w:rsid w:val="004D164F"/>
    <w:rsid w:val="004D17D6"/>
    <w:rsid w:val="004D2C44"/>
    <w:rsid w:val="004D36B1"/>
    <w:rsid w:val="004D3EF9"/>
    <w:rsid w:val="004D7EBD"/>
    <w:rsid w:val="004E207C"/>
    <w:rsid w:val="004E2680"/>
    <w:rsid w:val="004E28F9"/>
    <w:rsid w:val="004E3B04"/>
    <w:rsid w:val="004E462E"/>
    <w:rsid w:val="004E56DC"/>
    <w:rsid w:val="004E76F4"/>
    <w:rsid w:val="004F0B4E"/>
    <w:rsid w:val="004F0B6C"/>
    <w:rsid w:val="004F0CBB"/>
    <w:rsid w:val="004F2078"/>
    <w:rsid w:val="004F4BDB"/>
    <w:rsid w:val="004F4DA3"/>
    <w:rsid w:val="004F5196"/>
    <w:rsid w:val="004F5698"/>
    <w:rsid w:val="004F6291"/>
    <w:rsid w:val="004F6C5F"/>
    <w:rsid w:val="004F7A71"/>
    <w:rsid w:val="0050151E"/>
    <w:rsid w:val="00503B39"/>
    <w:rsid w:val="00504B96"/>
    <w:rsid w:val="0050604B"/>
    <w:rsid w:val="00506557"/>
    <w:rsid w:val="0050677A"/>
    <w:rsid w:val="00510591"/>
    <w:rsid w:val="005108D8"/>
    <w:rsid w:val="0051106B"/>
    <w:rsid w:val="005116F9"/>
    <w:rsid w:val="00513C86"/>
    <w:rsid w:val="005153A7"/>
    <w:rsid w:val="00517ED0"/>
    <w:rsid w:val="005219CF"/>
    <w:rsid w:val="00522BCA"/>
    <w:rsid w:val="005233B7"/>
    <w:rsid w:val="00523CDE"/>
    <w:rsid w:val="005245E9"/>
    <w:rsid w:val="00530E21"/>
    <w:rsid w:val="00532526"/>
    <w:rsid w:val="00532B25"/>
    <w:rsid w:val="00534B59"/>
    <w:rsid w:val="00536759"/>
    <w:rsid w:val="005374DD"/>
    <w:rsid w:val="00537C62"/>
    <w:rsid w:val="00540574"/>
    <w:rsid w:val="005428E5"/>
    <w:rsid w:val="00546970"/>
    <w:rsid w:val="005476F5"/>
    <w:rsid w:val="00554E19"/>
    <w:rsid w:val="00555005"/>
    <w:rsid w:val="00555226"/>
    <w:rsid w:val="0056121F"/>
    <w:rsid w:val="00563645"/>
    <w:rsid w:val="00565B3B"/>
    <w:rsid w:val="00572505"/>
    <w:rsid w:val="005803D6"/>
    <w:rsid w:val="00580611"/>
    <w:rsid w:val="0058146F"/>
    <w:rsid w:val="00582809"/>
    <w:rsid w:val="00584E19"/>
    <w:rsid w:val="00584F45"/>
    <w:rsid w:val="0058699C"/>
    <w:rsid w:val="0058717D"/>
    <w:rsid w:val="0058798C"/>
    <w:rsid w:val="005900FA"/>
    <w:rsid w:val="00592D7B"/>
    <w:rsid w:val="005935A4"/>
    <w:rsid w:val="005948C2"/>
    <w:rsid w:val="00595DCA"/>
    <w:rsid w:val="0059779B"/>
    <w:rsid w:val="005A0EB4"/>
    <w:rsid w:val="005A209A"/>
    <w:rsid w:val="005A336E"/>
    <w:rsid w:val="005A627C"/>
    <w:rsid w:val="005A662D"/>
    <w:rsid w:val="005B03D1"/>
    <w:rsid w:val="005B0F7B"/>
    <w:rsid w:val="005B1409"/>
    <w:rsid w:val="005B210A"/>
    <w:rsid w:val="005B35D7"/>
    <w:rsid w:val="005B392A"/>
    <w:rsid w:val="005B3AA3"/>
    <w:rsid w:val="005B6F83"/>
    <w:rsid w:val="005C24B6"/>
    <w:rsid w:val="005C36FE"/>
    <w:rsid w:val="005C5014"/>
    <w:rsid w:val="005C68EC"/>
    <w:rsid w:val="005C74FB"/>
    <w:rsid w:val="005C7BE8"/>
    <w:rsid w:val="005D03AC"/>
    <w:rsid w:val="005D0A85"/>
    <w:rsid w:val="005D131C"/>
    <w:rsid w:val="005D1602"/>
    <w:rsid w:val="005D1E33"/>
    <w:rsid w:val="005D3A1A"/>
    <w:rsid w:val="005D59AC"/>
    <w:rsid w:val="005D767E"/>
    <w:rsid w:val="005E385F"/>
    <w:rsid w:val="005E4E74"/>
    <w:rsid w:val="005E554F"/>
    <w:rsid w:val="005E565F"/>
    <w:rsid w:val="005E5B81"/>
    <w:rsid w:val="005E6756"/>
    <w:rsid w:val="005F227B"/>
    <w:rsid w:val="005F2CB1"/>
    <w:rsid w:val="005F3025"/>
    <w:rsid w:val="005F3145"/>
    <w:rsid w:val="005F5DE1"/>
    <w:rsid w:val="005F618C"/>
    <w:rsid w:val="005F70BD"/>
    <w:rsid w:val="005F7131"/>
    <w:rsid w:val="006001B5"/>
    <w:rsid w:val="00600E04"/>
    <w:rsid w:val="00600E44"/>
    <w:rsid w:val="006014C3"/>
    <w:rsid w:val="00601DAF"/>
    <w:rsid w:val="0060283C"/>
    <w:rsid w:val="00603A81"/>
    <w:rsid w:val="00604F14"/>
    <w:rsid w:val="00606A3B"/>
    <w:rsid w:val="0060775A"/>
    <w:rsid w:val="00610512"/>
    <w:rsid w:val="00611B83"/>
    <w:rsid w:val="00613257"/>
    <w:rsid w:val="006135E3"/>
    <w:rsid w:val="00615254"/>
    <w:rsid w:val="00615DF2"/>
    <w:rsid w:val="00620A71"/>
    <w:rsid w:val="00620D80"/>
    <w:rsid w:val="0062134E"/>
    <w:rsid w:val="00621BF9"/>
    <w:rsid w:val="00622D28"/>
    <w:rsid w:val="006234A6"/>
    <w:rsid w:val="0062596F"/>
    <w:rsid w:val="00625995"/>
    <w:rsid w:val="00630001"/>
    <w:rsid w:val="00630A32"/>
    <w:rsid w:val="006311B3"/>
    <w:rsid w:val="0063284C"/>
    <w:rsid w:val="006355CB"/>
    <w:rsid w:val="00636398"/>
    <w:rsid w:val="006368D3"/>
    <w:rsid w:val="0063744A"/>
    <w:rsid w:val="00637484"/>
    <w:rsid w:val="006376D0"/>
    <w:rsid w:val="006377EC"/>
    <w:rsid w:val="00637D80"/>
    <w:rsid w:val="0064151F"/>
    <w:rsid w:val="00641533"/>
    <w:rsid w:val="0064208D"/>
    <w:rsid w:val="00642E13"/>
    <w:rsid w:val="0064337B"/>
    <w:rsid w:val="00643475"/>
    <w:rsid w:val="0064396A"/>
    <w:rsid w:val="0064624E"/>
    <w:rsid w:val="00646AC1"/>
    <w:rsid w:val="00646C0E"/>
    <w:rsid w:val="00650AB9"/>
    <w:rsid w:val="006522EA"/>
    <w:rsid w:val="006543C0"/>
    <w:rsid w:val="006555B6"/>
    <w:rsid w:val="00655733"/>
    <w:rsid w:val="006557DD"/>
    <w:rsid w:val="00655ACD"/>
    <w:rsid w:val="00656A92"/>
    <w:rsid w:val="00656DDE"/>
    <w:rsid w:val="0065782C"/>
    <w:rsid w:val="0066011D"/>
    <w:rsid w:val="006601F1"/>
    <w:rsid w:val="006607C0"/>
    <w:rsid w:val="00660956"/>
    <w:rsid w:val="006613A6"/>
    <w:rsid w:val="00661554"/>
    <w:rsid w:val="006627A2"/>
    <w:rsid w:val="006634E6"/>
    <w:rsid w:val="0066536E"/>
    <w:rsid w:val="006655EE"/>
    <w:rsid w:val="00665924"/>
    <w:rsid w:val="00666D93"/>
    <w:rsid w:val="00667EE7"/>
    <w:rsid w:val="0067005F"/>
    <w:rsid w:val="00670922"/>
    <w:rsid w:val="00670BE1"/>
    <w:rsid w:val="006714EF"/>
    <w:rsid w:val="0067172B"/>
    <w:rsid w:val="0067218F"/>
    <w:rsid w:val="006724B5"/>
    <w:rsid w:val="006725FF"/>
    <w:rsid w:val="00673066"/>
    <w:rsid w:val="0067345A"/>
    <w:rsid w:val="006741F2"/>
    <w:rsid w:val="00674CC3"/>
    <w:rsid w:val="006751D7"/>
    <w:rsid w:val="00675C72"/>
    <w:rsid w:val="0067612A"/>
    <w:rsid w:val="006771F9"/>
    <w:rsid w:val="00677332"/>
    <w:rsid w:val="006776D7"/>
    <w:rsid w:val="00681003"/>
    <w:rsid w:val="006811CD"/>
    <w:rsid w:val="006817C9"/>
    <w:rsid w:val="00681C7A"/>
    <w:rsid w:val="00681EDF"/>
    <w:rsid w:val="00682B5E"/>
    <w:rsid w:val="00682DB8"/>
    <w:rsid w:val="00683EC7"/>
    <w:rsid w:val="00683ECE"/>
    <w:rsid w:val="006866C9"/>
    <w:rsid w:val="006869F3"/>
    <w:rsid w:val="00691AF0"/>
    <w:rsid w:val="00693F26"/>
    <w:rsid w:val="00695FC2"/>
    <w:rsid w:val="00696949"/>
    <w:rsid w:val="00697052"/>
    <w:rsid w:val="006A0BAE"/>
    <w:rsid w:val="006A46FB"/>
    <w:rsid w:val="006A5E28"/>
    <w:rsid w:val="006A697B"/>
    <w:rsid w:val="006A6F11"/>
    <w:rsid w:val="006A757E"/>
    <w:rsid w:val="006A7AFF"/>
    <w:rsid w:val="006B1816"/>
    <w:rsid w:val="006B2099"/>
    <w:rsid w:val="006B50CF"/>
    <w:rsid w:val="006C03B8"/>
    <w:rsid w:val="006C28B6"/>
    <w:rsid w:val="006C428E"/>
    <w:rsid w:val="006C4725"/>
    <w:rsid w:val="006C5EC9"/>
    <w:rsid w:val="006C6059"/>
    <w:rsid w:val="006C7522"/>
    <w:rsid w:val="006C776D"/>
    <w:rsid w:val="006D0C0E"/>
    <w:rsid w:val="006D34C3"/>
    <w:rsid w:val="006D4016"/>
    <w:rsid w:val="006D4601"/>
    <w:rsid w:val="006D4CE4"/>
    <w:rsid w:val="006D6F08"/>
    <w:rsid w:val="006D70E2"/>
    <w:rsid w:val="006E062C"/>
    <w:rsid w:val="006E09D3"/>
    <w:rsid w:val="006E1874"/>
    <w:rsid w:val="006E1C82"/>
    <w:rsid w:val="006E28B7"/>
    <w:rsid w:val="006E2A9B"/>
    <w:rsid w:val="006E3310"/>
    <w:rsid w:val="006E4E39"/>
    <w:rsid w:val="006E565E"/>
    <w:rsid w:val="006E6047"/>
    <w:rsid w:val="006E673D"/>
    <w:rsid w:val="006E7820"/>
    <w:rsid w:val="006E7D3B"/>
    <w:rsid w:val="006F1B70"/>
    <w:rsid w:val="006F2408"/>
    <w:rsid w:val="006F2A45"/>
    <w:rsid w:val="006F341D"/>
    <w:rsid w:val="006F3CDE"/>
    <w:rsid w:val="006F58D4"/>
    <w:rsid w:val="006F5DD8"/>
    <w:rsid w:val="006F6582"/>
    <w:rsid w:val="006F679B"/>
    <w:rsid w:val="006F6F8B"/>
    <w:rsid w:val="006F70CF"/>
    <w:rsid w:val="006F7767"/>
    <w:rsid w:val="00701430"/>
    <w:rsid w:val="0070146B"/>
    <w:rsid w:val="0070346E"/>
    <w:rsid w:val="00704EDB"/>
    <w:rsid w:val="00706101"/>
    <w:rsid w:val="00707072"/>
    <w:rsid w:val="00707D61"/>
    <w:rsid w:val="00712287"/>
    <w:rsid w:val="00712772"/>
    <w:rsid w:val="0071434E"/>
    <w:rsid w:val="007148D3"/>
    <w:rsid w:val="00714F6D"/>
    <w:rsid w:val="00715B9A"/>
    <w:rsid w:val="00716295"/>
    <w:rsid w:val="00716552"/>
    <w:rsid w:val="00720BC3"/>
    <w:rsid w:val="00723F1C"/>
    <w:rsid w:val="007257D0"/>
    <w:rsid w:val="00726252"/>
    <w:rsid w:val="00726EA6"/>
    <w:rsid w:val="00727208"/>
    <w:rsid w:val="00727680"/>
    <w:rsid w:val="00733C7D"/>
    <w:rsid w:val="0073435E"/>
    <w:rsid w:val="007348B1"/>
    <w:rsid w:val="00735D52"/>
    <w:rsid w:val="00735FEC"/>
    <w:rsid w:val="007362A6"/>
    <w:rsid w:val="00736D7D"/>
    <w:rsid w:val="0073782A"/>
    <w:rsid w:val="00740E58"/>
    <w:rsid w:val="007419BE"/>
    <w:rsid w:val="0074333D"/>
    <w:rsid w:val="00743376"/>
    <w:rsid w:val="00743499"/>
    <w:rsid w:val="007445A0"/>
    <w:rsid w:val="0074524B"/>
    <w:rsid w:val="00747223"/>
    <w:rsid w:val="00747D8B"/>
    <w:rsid w:val="00751228"/>
    <w:rsid w:val="0075290D"/>
    <w:rsid w:val="00753B3B"/>
    <w:rsid w:val="00754D1C"/>
    <w:rsid w:val="007571E1"/>
    <w:rsid w:val="00757A16"/>
    <w:rsid w:val="007604B2"/>
    <w:rsid w:val="00761A8B"/>
    <w:rsid w:val="00763AB1"/>
    <w:rsid w:val="00763C38"/>
    <w:rsid w:val="00764631"/>
    <w:rsid w:val="00765281"/>
    <w:rsid w:val="00765B5F"/>
    <w:rsid w:val="00766BAD"/>
    <w:rsid w:val="00767DF7"/>
    <w:rsid w:val="00772256"/>
    <w:rsid w:val="007729A2"/>
    <w:rsid w:val="00773611"/>
    <w:rsid w:val="007755F2"/>
    <w:rsid w:val="00775F9A"/>
    <w:rsid w:val="00776971"/>
    <w:rsid w:val="00780A80"/>
    <w:rsid w:val="0078177E"/>
    <w:rsid w:val="007817CF"/>
    <w:rsid w:val="00782D5A"/>
    <w:rsid w:val="0078304C"/>
    <w:rsid w:val="00783673"/>
    <w:rsid w:val="00783D8C"/>
    <w:rsid w:val="0078521D"/>
    <w:rsid w:val="007853E4"/>
    <w:rsid w:val="00785490"/>
    <w:rsid w:val="00785EE7"/>
    <w:rsid w:val="007865B7"/>
    <w:rsid w:val="00786A5C"/>
    <w:rsid w:val="00791415"/>
    <w:rsid w:val="00791EA7"/>
    <w:rsid w:val="007924A9"/>
    <w:rsid w:val="007925EA"/>
    <w:rsid w:val="00793CD8"/>
    <w:rsid w:val="0079415A"/>
    <w:rsid w:val="00795C92"/>
    <w:rsid w:val="00796231"/>
    <w:rsid w:val="00797991"/>
    <w:rsid w:val="007A0BD2"/>
    <w:rsid w:val="007A1398"/>
    <w:rsid w:val="007A1CB3"/>
    <w:rsid w:val="007A306F"/>
    <w:rsid w:val="007A43A6"/>
    <w:rsid w:val="007A58A6"/>
    <w:rsid w:val="007A58CA"/>
    <w:rsid w:val="007A6C18"/>
    <w:rsid w:val="007B00A1"/>
    <w:rsid w:val="007B0C3C"/>
    <w:rsid w:val="007B16B0"/>
    <w:rsid w:val="007B2490"/>
    <w:rsid w:val="007B3D2D"/>
    <w:rsid w:val="007B4738"/>
    <w:rsid w:val="007B50AE"/>
    <w:rsid w:val="007B51DF"/>
    <w:rsid w:val="007B7223"/>
    <w:rsid w:val="007B79F6"/>
    <w:rsid w:val="007C043A"/>
    <w:rsid w:val="007C05DD"/>
    <w:rsid w:val="007C12FA"/>
    <w:rsid w:val="007C1BB5"/>
    <w:rsid w:val="007C3D18"/>
    <w:rsid w:val="007C60BF"/>
    <w:rsid w:val="007C6A07"/>
    <w:rsid w:val="007C75A1"/>
    <w:rsid w:val="007C77A5"/>
    <w:rsid w:val="007D04E5"/>
    <w:rsid w:val="007D4E4C"/>
    <w:rsid w:val="007D5901"/>
    <w:rsid w:val="007D6F15"/>
    <w:rsid w:val="007D7526"/>
    <w:rsid w:val="007E15D6"/>
    <w:rsid w:val="007E2BE3"/>
    <w:rsid w:val="007E2F1A"/>
    <w:rsid w:val="007E4610"/>
    <w:rsid w:val="007E4715"/>
    <w:rsid w:val="007E505B"/>
    <w:rsid w:val="007E7091"/>
    <w:rsid w:val="007E7A71"/>
    <w:rsid w:val="007F01F3"/>
    <w:rsid w:val="007F07E4"/>
    <w:rsid w:val="007F6035"/>
    <w:rsid w:val="007F64D3"/>
    <w:rsid w:val="00800BAF"/>
    <w:rsid w:val="00801788"/>
    <w:rsid w:val="00803FAE"/>
    <w:rsid w:val="008059FE"/>
    <w:rsid w:val="0080605F"/>
    <w:rsid w:val="00806770"/>
    <w:rsid w:val="00806B3E"/>
    <w:rsid w:val="00806F7A"/>
    <w:rsid w:val="00807786"/>
    <w:rsid w:val="00810EC1"/>
    <w:rsid w:val="00811BC1"/>
    <w:rsid w:val="00811FCB"/>
    <w:rsid w:val="008158D6"/>
    <w:rsid w:val="00815CB1"/>
    <w:rsid w:val="008169E2"/>
    <w:rsid w:val="00816BA4"/>
    <w:rsid w:val="00817196"/>
    <w:rsid w:val="00817682"/>
    <w:rsid w:val="00822592"/>
    <w:rsid w:val="008235DB"/>
    <w:rsid w:val="00824AB4"/>
    <w:rsid w:val="00825C42"/>
    <w:rsid w:val="00825D25"/>
    <w:rsid w:val="00826A14"/>
    <w:rsid w:val="00827101"/>
    <w:rsid w:val="00827D6F"/>
    <w:rsid w:val="00836544"/>
    <w:rsid w:val="008376AC"/>
    <w:rsid w:val="008378BC"/>
    <w:rsid w:val="00837A31"/>
    <w:rsid w:val="008408B6"/>
    <w:rsid w:val="008409E1"/>
    <w:rsid w:val="008416A3"/>
    <w:rsid w:val="0084314E"/>
    <w:rsid w:val="00844025"/>
    <w:rsid w:val="00844120"/>
    <w:rsid w:val="008444E8"/>
    <w:rsid w:val="00844E80"/>
    <w:rsid w:val="00846488"/>
    <w:rsid w:val="00846B27"/>
    <w:rsid w:val="00846FE7"/>
    <w:rsid w:val="00847D8E"/>
    <w:rsid w:val="00853F36"/>
    <w:rsid w:val="008542FE"/>
    <w:rsid w:val="00856911"/>
    <w:rsid w:val="008572D9"/>
    <w:rsid w:val="00857A22"/>
    <w:rsid w:val="008609F3"/>
    <w:rsid w:val="00860F9B"/>
    <w:rsid w:val="00861247"/>
    <w:rsid w:val="008625B7"/>
    <w:rsid w:val="008677FD"/>
    <w:rsid w:val="00867EAB"/>
    <w:rsid w:val="008706D4"/>
    <w:rsid w:val="00870F25"/>
    <w:rsid w:val="00870F8A"/>
    <w:rsid w:val="00871563"/>
    <w:rsid w:val="008719A4"/>
    <w:rsid w:val="00871D23"/>
    <w:rsid w:val="00871FAC"/>
    <w:rsid w:val="00872829"/>
    <w:rsid w:val="00874312"/>
    <w:rsid w:val="0087437C"/>
    <w:rsid w:val="00875609"/>
    <w:rsid w:val="00875CD7"/>
    <w:rsid w:val="00876B4D"/>
    <w:rsid w:val="00877082"/>
    <w:rsid w:val="00877F18"/>
    <w:rsid w:val="008805A9"/>
    <w:rsid w:val="008846BF"/>
    <w:rsid w:val="00887F7C"/>
    <w:rsid w:val="00890D22"/>
    <w:rsid w:val="00890F19"/>
    <w:rsid w:val="0089171C"/>
    <w:rsid w:val="008937D1"/>
    <w:rsid w:val="008941E3"/>
    <w:rsid w:val="00894A88"/>
    <w:rsid w:val="00895386"/>
    <w:rsid w:val="00896505"/>
    <w:rsid w:val="00897759"/>
    <w:rsid w:val="008A21FF"/>
    <w:rsid w:val="008A2CE2"/>
    <w:rsid w:val="008A30AC"/>
    <w:rsid w:val="008A44B8"/>
    <w:rsid w:val="008A51A8"/>
    <w:rsid w:val="008A54C7"/>
    <w:rsid w:val="008A77D8"/>
    <w:rsid w:val="008B0483"/>
    <w:rsid w:val="008B120C"/>
    <w:rsid w:val="008B25EB"/>
    <w:rsid w:val="008B35B0"/>
    <w:rsid w:val="008B39C3"/>
    <w:rsid w:val="008B51A0"/>
    <w:rsid w:val="008B592A"/>
    <w:rsid w:val="008B5B59"/>
    <w:rsid w:val="008B7B5C"/>
    <w:rsid w:val="008C0C99"/>
    <w:rsid w:val="008C2017"/>
    <w:rsid w:val="008C39CD"/>
    <w:rsid w:val="008C4958"/>
    <w:rsid w:val="008C4BAA"/>
    <w:rsid w:val="008C6AE8"/>
    <w:rsid w:val="008C74DA"/>
    <w:rsid w:val="008C7573"/>
    <w:rsid w:val="008C7833"/>
    <w:rsid w:val="008C79EE"/>
    <w:rsid w:val="008D00A5"/>
    <w:rsid w:val="008D34F1"/>
    <w:rsid w:val="008D39D8"/>
    <w:rsid w:val="008D44D4"/>
    <w:rsid w:val="008D4F85"/>
    <w:rsid w:val="008D5788"/>
    <w:rsid w:val="008D6C7A"/>
    <w:rsid w:val="008D6D1A"/>
    <w:rsid w:val="008E065E"/>
    <w:rsid w:val="008E0881"/>
    <w:rsid w:val="008E0927"/>
    <w:rsid w:val="008E1127"/>
    <w:rsid w:val="008E1909"/>
    <w:rsid w:val="008E4257"/>
    <w:rsid w:val="008E4C14"/>
    <w:rsid w:val="008E7979"/>
    <w:rsid w:val="008E7A94"/>
    <w:rsid w:val="008F0CCA"/>
    <w:rsid w:val="008F1EAB"/>
    <w:rsid w:val="008F2A00"/>
    <w:rsid w:val="008F3216"/>
    <w:rsid w:val="008F33DC"/>
    <w:rsid w:val="008F477F"/>
    <w:rsid w:val="008F6D6C"/>
    <w:rsid w:val="009010CC"/>
    <w:rsid w:val="00901E92"/>
    <w:rsid w:val="00902350"/>
    <w:rsid w:val="0090336B"/>
    <w:rsid w:val="009053AA"/>
    <w:rsid w:val="009061A3"/>
    <w:rsid w:val="00906939"/>
    <w:rsid w:val="00910784"/>
    <w:rsid w:val="00910AE0"/>
    <w:rsid w:val="00910B7D"/>
    <w:rsid w:val="00911D63"/>
    <w:rsid w:val="00911DFB"/>
    <w:rsid w:val="00912395"/>
    <w:rsid w:val="00912C2A"/>
    <w:rsid w:val="009139D9"/>
    <w:rsid w:val="00914AD8"/>
    <w:rsid w:val="009159D8"/>
    <w:rsid w:val="00916079"/>
    <w:rsid w:val="00916E34"/>
    <w:rsid w:val="009173F5"/>
    <w:rsid w:val="00917CE9"/>
    <w:rsid w:val="00920BF2"/>
    <w:rsid w:val="00922010"/>
    <w:rsid w:val="00922333"/>
    <w:rsid w:val="00922B3F"/>
    <w:rsid w:val="00922C8C"/>
    <w:rsid w:val="00923B08"/>
    <w:rsid w:val="00923DA2"/>
    <w:rsid w:val="009251A4"/>
    <w:rsid w:val="00925BB6"/>
    <w:rsid w:val="00927E23"/>
    <w:rsid w:val="009301A2"/>
    <w:rsid w:val="009302E1"/>
    <w:rsid w:val="0093196B"/>
    <w:rsid w:val="00931BA4"/>
    <w:rsid w:val="00931BD9"/>
    <w:rsid w:val="00935004"/>
    <w:rsid w:val="009368F3"/>
    <w:rsid w:val="009415F5"/>
    <w:rsid w:val="00941636"/>
    <w:rsid w:val="0094241D"/>
    <w:rsid w:val="00943742"/>
    <w:rsid w:val="00943BFA"/>
    <w:rsid w:val="009457C0"/>
    <w:rsid w:val="00945C05"/>
    <w:rsid w:val="00946945"/>
    <w:rsid w:val="00946ABD"/>
    <w:rsid w:val="00947713"/>
    <w:rsid w:val="00950DE7"/>
    <w:rsid w:val="0095185C"/>
    <w:rsid w:val="00951A41"/>
    <w:rsid w:val="00951DA4"/>
    <w:rsid w:val="00953734"/>
    <w:rsid w:val="00953920"/>
    <w:rsid w:val="00953D47"/>
    <w:rsid w:val="00954DED"/>
    <w:rsid w:val="0095681E"/>
    <w:rsid w:val="009572D4"/>
    <w:rsid w:val="009573E0"/>
    <w:rsid w:val="009616F8"/>
    <w:rsid w:val="00961921"/>
    <w:rsid w:val="009620DB"/>
    <w:rsid w:val="0096430A"/>
    <w:rsid w:val="009652C1"/>
    <w:rsid w:val="0096554B"/>
    <w:rsid w:val="0096584A"/>
    <w:rsid w:val="00966811"/>
    <w:rsid w:val="00967C81"/>
    <w:rsid w:val="0097117C"/>
    <w:rsid w:val="00971F08"/>
    <w:rsid w:val="0097324C"/>
    <w:rsid w:val="0097603D"/>
    <w:rsid w:val="0097690D"/>
    <w:rsid w:val="00976949"/>
    <w:rsid w:val="009800D3"/>
    <w:rsid w:val="00980477"/>
    <w:rsid w:val="00981E11"/>
    <w:rsid w:val="00985253"/>
    <w:rsid w:val="009853B3"/>
    <w:rsid w:val="00990630"/>
    <w:rsid w:val="00990BC2"/>
    <w:rsid w:val="00991761"/>
    <w:rsid w:val="00994DCA"/>
    <w:rsid w:val="009960EC"/>
    <w:rsid w:val="009970DD"/>
    <w:rsid w:val="00997A49"/>
    <w:rsid w:val="009A0FBA"/>
    <w:rsid w:val="009A1601"/>
    <w:rsid w:val="009A2EB9"/>
    <w:rsid w:val="009A336A"/>
    <w:rsid w:val="009A3BB6"/>
    <w:rsid w:val="009A462D"/>
    <w:rsid w:val="009A5CBA"/>
    <w:rsid w:val="009B00CE"/>
    <w:rsid w:val="009B1F30"/>
    <w:rsid w:val="009B3AC2"/>
    <w:rsid w:val="009B3D4D"/>
    <w:rsid w:val="009B4DF4"/>
    <w:rsid w:val="009B528F"/>
    <w:rsid w:val="009B564E"/>
    <w:rsid w:val="009B6571"/>
    <w:rsid w:val="009B7E87"/>
    <w:rsid w:val="009C0169"/>
    <w:rsid w:val="009C15CD"/>
    <w:rsid w:val="009C403E"/>
    <w:rsid w:val="009C46D9"/>
    <w:rsid w:val="009D17BE"/>
    <w:rsid w:val="009D232A"/>
    <w:rsid w:val="009D29AE"/>
    <w:rsid w:val="009D2FCA"/>
    <w:rsid w:val="009D4FF0"/>
    <w:rsid w:val="009D63D3"/>
    <w:rsid w:val="009D703C"/>
    <w:rsid w:val="009D718F"/>
    <w:rsid w:val="009E068F"/>
    <w:rsid w:val="009E14E0"/>
    <w:rsid w:val="009E2952"/>
    <w:rsid w:val="009E35DB"/>
    <w:rsid w:val="009E47A3"/>
    <w:rsid w:val="009E4F11"/>
    <w:rsid w:val="009E6A7E"/>
    <w:rsid w:val="009F08F3"/>
    <w:rsid w:val="009F26BF"/>
    <w:rsid w:val="009F344F"/>
    <w:rsid w:val="009F420A"/>
    <w:rsid w:val="009F4D4E"/>
    <w:rsid w:val="009F749A"/>
    <w:rsid w:val="009F7FA6"/>
    <w:rsid w:val="00A031D8"/>
    <w:rsid w:val="00A03D59"/>
    <w:rsid w:val="00A03E48"/>
    <w:rsid w:val="00A048A8"/>
    <w:rsid w:val="00A04A46"/>
    <w:rsid w:val="00A04F49"/>
    <w:rsid w:val="00A06677"/>
    <w:rsid w:val="00A07C43"/>
    <w:rsid w:val="00A10747"/>
    <w:rsid w:val="00A13C3F"/>
    <w:rsid w:val="00A13E54"/>
    <w:rsid w:val="00A17A39"/>
    <w:rsid w:val="00A17C69"/>
    <w:rsid w:val="00A17F63"/>
    <w:rsid w:val="00A2193B"/>
    <w:rsid w:val="00A22ED9"/>
    <w:rsid w:val="00A2315D"/>
    <w:rsid w:val="00A2351A"/>
    <w:rsid w:val="00A264A9"/>
    <w:rsid w:val="00A26777"/>
    <w:rsid w:val="00A26DCF"/>
    <w:rsid w:val="00A27785"/>
    <w:rsid w:val="00A30187"/>
    <w:rsid w:val="00A30D4C"/>
    <w:rsid w:val="00A32152"/>
    <w:rsid w:val="00A325F1"/>
    <w:rsid w:val="00A33186"/>
    <w:rsid w:val="00A342D0"/>
    <w:rsid w:val="00A3448A"/>
    <w:rsid w:val="00A36297"/>
    <w:rsid w:val="00A37389"/>
    <w:rsid w:val="00A4051A"/>
    <w:rsid w:val="00A4088A"/>
    <w:rsid w:val="00A40C42"/>
    <w:rsid w:val="00A41E2B"/>
    <w:rsid w:val="00A459E3"/>
    <w:rsid w:val="00A45B74"/>
    <w:rsid w:val="00A47C26"/>
    <w:rsid w:val="00A513EF"/>
    <w:rsid w:val="00A52E1D"/>
    <w:rsid w:val="00A53691"/>
    <w:rsid w:val="00A552C3"/>
    <w:rsid w:val="00A610AE"/>
    <w:rsid w:val="00A61499"/>
    <w:rsid w:val="00A61584"/>
    <w:rsid w:val="00A6252B"/>
    <w:rsid w:val="00A62A77"/>
    <w:rsid w:val="00A63483"/>
    <w:rsid w:val="00A657D7"/>
    <w:rsid w:val="00A6594C"/>
    <w:rsid w:val="00A660AC"/>
    <w:rsid w:val="00A664FE"/>
    <w:rsid w:val="00A67E6C"/>
    <w:rsid w:val="00A71B99"/>
    <w:rsid w:val="00A739D0"/>
    <w:rsid w:val="00A748C8"/>
    <w:rsid w:val="00A76029"/>
    <w:rsid w:val="00A761D4"/>
    <w:rsid w:val="00A77EC4"/>
    <w:rsid w:val="00A83E37"/>
    <w:rsid w:val="00A83F05"/>
    <w:rsid w:val="00A92879"/>
    <w:rsid w:val="00A92A97"/>
    <w:rsid w:val="00A934CD"/>
    <w:rsid w:val="00A9442A"/>
    <w:rsid w:val="00A957DA"/>
    <w:rsid w:val="00AA016F"/>
    <w:rsid w:val="00AA1ED6"/>
    <w:rsid w:val="00AA1F86"/>
    <w:rsid w:val="00AA2E15"/>
    <w:rsid w:val="00AA51D6"/>
    <w:rsid w:val="00AA634D"/>
    <w:rsid w:val="00AB0BC8"/>
    <w:rsid w:val="00AB11CA"/>
    <w:rsid w:val="00AB14D9"/>
    <w:rsid w:val="00AB4AB8"/>
    <w:rsid w:val="00AB655E"/>
    <w:rsid w:val="00AC007F"/>
    <w:rsid w:val="00AC1373"/>
    <w:rsid w:val="00AC18D2"/>
    <w:rsid w:val="00AC2097"/>
    <w:rsid w:val="00AC294C"/>
    <w:rsid w:val="00AC2ECD"/>
    <w:rsid w:val="00AC3119"/>
    <w:rsid w:val="00AC323C"/>
    <w:rsid w:val="00AC3836"/>
    <w:rsid w:val="00AC49FB"/>
    <w:rsid w:val="00AC5A10"/>
    <w:rsid w:val="00AC72F3"/>
    <w:rsid w:val="00AD0AA3"/>
    <w:rsid w:val="00AD3F94"/>
    <w:rsid w:val="00AD4A5A"/>
    <w:rsid w:val="00AE0DA7"/>
    <w:rsid w:val="00AE27AC"/>
    <w:rsid w:val="00AE2FA6"/>
    <w:rsid w:val="00AE40E0"/>
    <w:rsid w:val="00AE4781"/>
    <w:rsid w:val="00AE4DBA"/>
    <w:rsid w:val="00AE4F07"/>
    <w:rsid w:val="00AE686F"/>
    <w:rsid w:val="00AF1C5D"/>
    <w:rsid w:val="00AF232C"/>
    <w:rsid w:val="00AF42D7"/>
    <w:rsid w:val="00AF74AC"/>
    <w:rsid w:val="00B006FE"/>
    <w:rsid w:val="00B007CB"/>
    <w:rsid w:val="00B02AA9"/>
    <w:rsid w:val="00B02FA3"/>
    <w:rsid w:val="00B041DE"/>
    <w:rsid w:val="00B05084"/>
    <w:rsid w:val="00B06129"/>
    <w:rsid w:val="00B06475"/>
    <w:rsid w:val="00B07D10"/>
    <w:rsid w:val="00B10941"/>
    <w:rsid w:val="00B12259"/>
    <w:rsid w:val="00B12516"/>
    <w:rsid w:val="00B1325C"/>
    <w:rsid w:val="00B157F9"/>
    <w:rsid w:val="00B20256"/>
    <w:rsid w:val="00B20D09"/>
    <w:rsid w:val="00B217EA"/>
    <w:rsid w:val="00B230D2"/>
    <w:rsid w:val="00B24E7C"/>
    <w:rsid w:val="00B259AC"/>
    <w:rsid w:val="00B2763F"/>
    <w:rsid w:val="00B27654"/>
    <w:rsid w:val="00B27AAC"/>
    <w:rsid w:val="00B30929"/>
    <w:rsid w:val="00B372AA"/>
    <w:rsid w:val="00B40445"/>
    <w:rsid w:val="00B4058E"/>
    <w:rsid w:val="00B405EC"/>
    <w:rsid w:val="00B409E0"/>
    <w:rsid w:val="00B41888"/>
    <w:rsid w:val="00B42647"/>
    <w:rsid w:val="00B45A52"/>
    <w:rsid w:val="00B46175"/>
    <w:rsid w:val="00B46977"/>
    <w:rsid w:val="00B50F88"/>
    <w:rsid w:val="00B548B7"/>
    <w:rsid w:val="00B56DBE"/>
    <w:rsid w:val="00B62331"/>
    <w:rsid w:val="00B62B97"/>
    <w:rsid w:val="00B64CF9"/>
    <w:rsid w:val="00B664C7"/>
    <w:rsid w:val="00B703A7"/>
    <w:rsid w:val="00B739F6"/>
    <w:rsid w:val="00B746F2"/>
    <w:rsid w:val="00B80B26"/>
    <w:rsid w:val="00B81A6C"/>
    <w:rsid w:val="00B82E47"/>
    <w:rsid w:val="00B82F50"/>
    <w:rsid w:val="00B8397E"/>
    <w:rsid w:val="00B84C4F"/>
    <w:rsid w:val="00B85DE5"/>
    <w:rsid w:val="00B865C4"/>
    <w:rsid w:val="00B87BDE"/>
    <w:rsid w:val="00B90F73"/>
    <w:rsid w:val="00B9152F"/>
    <w:rsid w:val="00B927D3"/>
    <w:rsid w:val="00B93B59"/>
    <w:rsid w:val="00B9406A"/>
    <w:rsid w:val="00B9530A"/>
    <w:rsid w:val="00B9742B"/>
    <w:rsid w:val="00BA2280"/>
    <w:rsid w:val="00BA2A08"/>
    <w:rsid w:val="00BA3947"/>
    <w:rsid w:val="00BA54E0"/>
    <w:rsid w:val="00BA56D2"/>
    <w:rsid w:val="00BA76E0"/>
    <w:rsid w:val="00BB1484"/>
    <w:rsid w:val="00BB2A25"/>
    <w:rsid w:val="00BB51E9"/>
    <w:rsid w:val="00BB7107"/>
    <w:rsid w:val="00BC0FDC"/>
    <w:rsid w:val="00BC2BA9"/>
    <w:rsid w:val="00BC3053"/>
    <w:rsid w:val="00BC3540"/>
    <w:rsid w:val="00BC3BD4"/>
    <w:rsid w:val="00BC4D2E"/>
    <w:rsid w:val="00BC5EC3"/>
    <w:rsid w:val="00BD2E87"/>
    <w:rsid w:val="00BD48AC"/>
    <w:rsid w:val="00BD5F1A"/>
    <w:rsid w:val="00BD6C46"/>
    <w:rsid w:val="00BE013D"/>
    <w:rsid w:val="00BE115B"/>
    <w:rsid w:val="00BE1234"/>
    <w:rsid w:val="00BE2FA6"/>
    <w:rsid w:val="00BE333F"/>
    <w:rsid w:val="00BE6431"/>
    <w:rsid w:val="00BE7406"/>
    <w:rsid w:val="00BE7603"/>
    <w:rsid w:val="00BF08BA"/>
    <w:rsid w:val="00BF29BE"/>
    <w:rsid w:val="00BF2CB5"/>
    <w:rsid w:val="00BF3201"/>
    <w:rsid w:val="00BF3279"/>
    <w:rsid w:val="00BF6A7A"/>
    <w:rsid w:val="00BF74C7"/>
    <w:rsid w:val="00C00051"/>
    <w:rsid w:val="00C015F1"/>
    <w:rsid w:val="00C01F33"/>
    <w:rsid w:val="00C023F7"/>
    <w:rsid w:val="00C0247F"/>
    <w:rsid w:val="00C024F0"/>
    <w:rsid w:val="00C02CC6"/>
    <w:rsid w:val="00C040F7"/>
    <w:rsid w:val="00C044AB"/>
    <w:rsid w:val="00C0568C"/>
    <w:rsid w:val="00C05706"/>
    <w:rsid w:val="00C06FA0"/>
    <w:rsid w:val="00C07377"/>
    <w:rsid w:val="00C077CB"/>
    <w:rsid w:val="00C10478"/>
    <w:rsid w:val="00C1055D"/>
    <w:rsid w:val="00C10686"/>
    <w:rsid w:val="00C10B7C"/>
    <w:rsid w:val="00C12101"/>
    <w:rsid w:val="00C12107"/>
    <w:rsid w:val="00C128B2"/>
    <w:rsid w:val="00C12F36"/>
    <w:rsid w:val="00C137AA"/>
    <w:rsid w:val="00C14D4B"/>
    <w:rsid w:val="00C154BB"/>
    <w:rsid w:val="00C2053F"/>
    <w:rsid w:val="00C2290F"/>
    <w:rsid w:val="00C25A9D"/>
    <w:rsid w:val="00C268E6"/>
    <w:rsid w:val="00C279B5"/>
    <w:rsid w:val="00C27C45"/>
    <w:rsid w:val="00C305B9"/>
    <w:rsid w:val="00C31541"/>
    <w:rsid w:val="00C35917"/>
    <w:rsid w:val="00C3719D"/>
    <w:rsid w:val="00C37CB2"/>
    <w:rsid w:val="00C4040B"/>
    <w:rsid w:val="00C4587C"/>
    <w:rsid w:val="00C4667C"/>
    <w:rsid w:val="00C473A5"/>
    <w:rsid w:val="00C52120"/>
    <w:rsid w:val="00C54995"/>
    <w:rsid w:val="00C54D41"/>
    <w:rsid w:val="00C55E22"/>
    <w:rsid w:val="00C5749D"/>
    <w:rsid w:val="00C60572"/>
    <w:rsid w:val="00C60783"/>
    <w:rsid w:val="00C62729"/>
    <w:rsid w:val="00C64672"/>
    <w:rsid w:val="00C65671"/>
    <w:rsid w:val="00C65EC6"/>
    <w:rsid w:val="00C66AA2"/>
    <w:rsid w:val="00C70264"/>
    <w:rsid w:val="00C70667"/>
    <w:rsid w:val="00C70697"/>
    <w:rsid w:val="00C72093"/>
    <w:rsid w:val="00C72EF4"/>
    <w:rsid w:val="00C744FE"/>
    <w:rsid w:val="00C75848"/>
    <w:rsid w:val="00C75D2F"/>
    <w:rsid w:val="00C767BE"/>
    <w:rsid w:val="00C76E3C"/>
    <w:rsid w:val="00C806F9"/>
    <w:rsid w:val="00C80769"/>
    <w:rsid w:val="00C81568"/>
    <w:rsid w:val="00C82F01"/>
    <w:rsid w:val="00C874D4"/>
    <w:rsid w:val="00C87A42"/>
    <w:rsid w:val="00C9027A"/>
    <w:rsid w:val="00C9068E"/>
    <w:rsid w:val="00C92593"/>
    <w:rsid w:val="00C92F9E"/>
    <w:rsid w:val="00C93814"/>
    <w:rsid w:val="00C93C4B"/>
    <w:rsid w:val="00C944AB"/>
    <w:rsid w:val="00C95B40"/>
    <w:rsid w:val="00C95D05"/>
    <w:rsid w:val="00C96AF6"/>
    <w:rsid w:val="00CA03E8"/>
    <w:rsid w:val="00CA0C6C"/>
    <w:rsid w:val="00CA1ED8"/>
    <w:rsid w:val="00CA42B9"/>
    <w:rsid w:val="00CA7FF2"/>
    <w:rsid w:val="00CB1F63"/>
    <w:rsid w:val="00CB3BC4"/>
    <w:rsid w:val="00CB5EEC"/>
    <w:rsid w:val="00CB5FAA"/>
    <w:rsid w:val="00CB7170"/>
    <w:rsid w:val="00CB7500"/>
    <w:rsid w:val="00CC040E"/>
    <w:rsid w:val="00CC0CB0"/>
    <w:rsid w:val="00CC111F"/>
    <w:rsid w:val="00CC1B6C"/>
    <w:rsid w:val="00CC2011"/>
    <w:rsid w:val="00CC279B"/>
    <w:rsid w:val="00CC37CD"/>
    <w:rsid w:val="00CC3EA0"/>
    <w:rsid w:val="00CC51BF"/>
    <w:rsid w:val="00CC7B45"/>
    <w:rsid w:val="00CD1188"/>
    <w:rsid w:val="00CD1C46"/>
    <w:rsid w:val="00CD2ED1"/>
    <w:rsid w:val="00CD337B"/>
    <w:rsid w:val="00CD3D6C"/>
    <w:rsid w:val="00CD43A3"/>
    <w:rsid w:val="00CD51CF"/>
    <w:rsid w:val="00CD51DC"/>
    <w:rsid w:val="00CD523D"/>
    <w:rsid w:val="00CD6524"/>
    <w:rsid w:val="00CD73A4"/>
    <w:rsid w:val="00CE0424"/>
    <w:rsid w:val="00CE0997"/>
    <w:rsid w:val="00CE1CE0"/>
    <w:rsid w:val="00CE4AF4"/>
    <w:rsid w:val="00CE55E9"/>
    <w:rsid w:val="00CE7561"/>
    <w:rsid w:val="00CF1354"/>
    <w:rsid w:val="00CF1C2D"/>
    <w:rsid w:val="00CF34EF"/>
    <w:rsid w:val="00CF3B1F"/>
    <w:rsid w:val="00CF3BF6"/>
    <w:rsid w:val="00CF41C1"/>
    <w:rsid w:val="00CF4C0E"/>
    <w:rsid w:val="00CF4DE7"/>
    <w:rsid w:val="00CF55C6"/>
    <w:rsid w:val="00CF5E14"/>
    <w:rsid w:val="00CF6199"/>
    <w:rsid w:val="00CF625B"/>
    <w:rsid w:val="00CF6424"/>
    <w:rsid w:val="00CF673F"/>
    <w:rsid w:val="00CF687E"/>
    <w:rsid w:val="00CF6D45"/>
    <w:rsid w:val="00CF73FB"/>
    <w:rsid w:val="00D01803"/>
    <w:rsid w:val="00D02615"/>
    <w:rsid w:val="00D0349B"/>
    <w:rsid w:val="00D05D75"/>
    <w:rsid w:val="00D10249"/>
    <w:rsid w:val="00D115C3"/>
    <w:rsid w:val="00D11897"/>
    <w:rsid w:val="00D11954"/>
    <w:rsid w:val="00D13135"/>
    <w:rsid w:val="00D13E4E"/>
    <w:rsid w:val="00D14FBB"/>
    <w:rsid w:val="00D23318"/>
    <w:rsid w:val="00D239A7"/>
    <w:rsid w:val="00D23BBF"/>
    <w:rsid w:val="00D23F47"/>
    <w:rsid w:val="00D24B23"/>
    <w:rsid w:val="00D26A98"/>
    <w:rsid w:val="00D30F37"/>
    <w:rsid w:val="00D310D0"/>
    <w:rsid w:val="00D3233E"/>
    <w:rsid w:val="00D36E71"/>
    <w:rsid w:val="00D36EF4"/>
    <w:rsid w:val="00D37D87"/>
    <w:rsid w:val="00D40B33"/>
    <w:rsid w:val="00D4318F"/>
    <w:rsid w:val="00D438BF"/>
    <w:rsid w:val="00D43998"/>
    <w:rsid w:val="00D440F8"/>
    <w:rsid w:val="00D44E22"/>
    <w:rsid w:val="00D45120"/>
    <w:rsid w:val="00D507D8"/>
    <w:rsid w:val="00D546FF"/>
    <w:rsid w:val="00D55AD5"/>
    <w:rsid w:val="00D56AA8"/>
    <w:rsid w:val="00D5708F"/>
    <w:rsid w:val="00D576CA"/>
    <w:rsid w:val="00D61AF5"/>
    <w:rsid w:val="00D63024"/>
    <w:rsid w:val="00D6378D"/>
    <w:rsid w:val="00D652B5"/>
    <w:rsid w:val="00D66155"/>
    <w:rsid w:val="00D6662B"/>
    <w:rsid w:val="00D708B0"/>
    <w:rsid w:val="00D728EC"/>
    <w:rsid w:val="00D77B1D"/>
    <w:rsid w:val="00D8021F"/>
    <w:rsid w:val="00D80383"/>
    <w:rsid w:val="00D823C6"/>
    <w:rsid w:val="00D8256E"/>
    <w:rsid w:val="00D8327F"/>
    <w:rsid w:val="00D85418"/>
    <w:rsid w:val="00D85545"/>
    <w:rsid w:val="00D86CA3"/>
    <w:rsid w:val="00D871CE"/>
    <w:rsid w:val="00D9133C"/>
    <w:rsid w:val="00D9196D"/>
    <w:rsid w:val="00D92982"/>
    <w:rsid w:val="00D9338D"/>
    <w:rsid w:val="00D95348"/>
    <w:rsid w:val="00D95894"/>
    <w:rsid w:val="00D96FA9"/>
    <w:rsid w:val="00DA305E"/>
    <w:rsid w:val="00DA5417"/>
    <w:rsid w:val="00DA56E8"/>
    <w:rsid w:val="00DA7BF3"/>
    <w:rsid w:val="00DB0A9F"/>
    <w:rsid w:val="00DB377D"/>
    <w:rsid w:val="00DB46BF"/>
    <w:rsid w:val="00DB50B7"/>
    <w:rsid w:val="00DB76D9"/>
    <w:rsid w:val="00DB7FCC"/>
    <w:rsid w:val="00DC2D36"/>
    <w:rsid w:val="00DC3C06"/>
    <w:rsid w:val="00DC403B"/>
    <w:rsid w:val="00DC4D74"/>
    <w:rsid w:val="00DC53EF"/>
    <w:rsid w:val="00DC6B21"/>
    <w:rsid w:val="00DC6F68"/>
    <w:rsid w:val="00DD03B7"/>
    <w:rsid w:val="00DD3C8F"/>
    <w:rsid w:val="00DD567E"/>
    <w:rsid w:val="00DD6C7A"/>
    <w:rsid w:val="00DE147B"/>
    <w:rsid w:val="00DE3F45"/>
    <w:rsid w:val="00DE5608"/>
    <w:rsid w:val="00DE58D0"/>
    <w:rsid w:val="00DE654F"/>
    <w:rsid w:val="00DF0ADE"/>
    <w:rsid w:val="00DF0B6E"/>
    <w:rsid w:val="00DF15E0"/>
    <w:rsid w:val="00DF16B6"/>
    <w:rsid w:val="00DF37A0"/>
    <w:rsid w:val="00E00C75"/>
    <w:rsid w:val="00E01C96"/>
    <w:rsid w:val="00E03936"/>
    <w:rsid w:val="00E0661F"/>
    <w:rsid w:val="00E10ACB"/>
    <w:rsid w:val="00E110E7"/>
    <w:rsid w:val="00E111EE"/>
    <w:rsid w:val="00E11B20"/>
    <w:rsid w:val="00E12844"/>
    <w:rsid w:val="00E13643"/>
    <w:rsid w:val="00E1518F"/>
    <w:rsid w:val="00E16867"/>
    <w:rsid w:val="00E17FA2"/>
    <w:rsid w:val="00E22330"/>
    <w:rsid w:val="00E26D40"/>
    <w:rsid w:val="00E300D4"/>
    <w:rsid w:val="00E30B5A"/>
    <w:rsid w:val="00E3123D"/>
    <w:rsid w:val="00E31461"/>
    <w:rsid w:val="00E31C06"/>
    <w:rsid w:val="00E31D43"/>
    <w:rsid w:val="00E32608"/>
    <w:rsid w:val="00E3371E"/>
    <w:rsid w:val="00E33902"/>
    <w:rsid w:val="00E34188"/>
    <w:rsid w:val="00E34B6E"/>
    <w:rsid w:val="00E35559"/>
    <w:rsid w:val="00E3723A"/>
    <w:rsid w:val="00E37860"/>
    <w:rsid w:val="00E402DE"/>
    <w:rsid w:val="00E413A5"/>
    <w:rsid w:val="00E446F1"/>
    <w:rsid w:val="00E4629A"/>
    <w:rsid w:val="00E46886"/>
    <w:rsid w:val="00E47AEF"/>
    <w:rsid w:val="00E52511"/>
    <w:rsid w:val="00E527C1"/>
    <w:rsid w:val="00E53B75"/>
    <w:rsid w:val="00E54E3B"/>
    <w:rsid w:val="00E55225"/>
    <w:rsid w:val="00E557A0"/>
    <w:rsid w:val="00E55968"/>
    <w:rsid w:val="00E57565"/>
    <w:rsid w:val="00E57D15"/>
    <w:rsid w:val="00E6129D"/>
    <w:rsid w:val="00E621FA"/>
    <w:rsid w:val="00E62AF7"/>
    <w:rsid w:val="00E62DE8"/>
    <w:rsid w:val="00E63838"/>
    <w:rsid w:val="00E643F6"/>
    <w:rsid w:val="00E64434"/>
    <w:rsid w:val="00E65E27"/>
    <w:rsid w:val="00E66143"/>
    <w:rsid w:val="00E671CF"/>
    <w:rsid w:val="00E67C4C"/>
    <w:rsid w:val="00E67C51"/>
    <w:rsid w:val="00E72EFC"/>
    <w:rsid w:val="00E758EC"/>
    <w:rsid w:val="00E7757D"/>
    <w:rsid w:val="00E77DC1"/>
    <w:rsid w:val="00E80124"/>
    <w:rsid w:val="00E80D40"/>
    <w:rsid w:val="00E8234C"/>
    <w:rsid w:val="00E832A2"/>
    <w:rsid w:val="00E83AA9"/>
    <w:rsid w:val="00E83F4A"/>
    <w:rsid w:val="00E84C27"/>
    <w:rsid w:val="00E8586C"/>
    <w:rsid w:val="00E85928"/>
    <w:rsid w:val="00E86174"/>
    <w:rsid w:val="00E86D5D"/>
    <w:rsid w:val="00E87382"/>
    <w:rsid w:val="00E87822"/>
    <w:rsid w:val="00E87C75"/>
    <w:rsid w:val="00E90395"/>
    <w:rsid w:val="00E90C5D"/>
    <w:rsid w:val="00E90E49"/>
    <w:rsid w:val="00E917F9"/>
    <w:rsid w:val="00E9291C"/>
    <w:rsid w:val="00E93FFE"/>
    <w:rsid w:val="00E94CFE"/>
    <w:rsid w:val="00E94F8A"/>
    <w:rsid w:val="00E96B51"/>
    <w:rsid w:val="00E979C0"/>
    <w:rsid w:val="00EA1520"/>
    <w:rsid w:val="00EA23AF"/>
    <w:rsid w:val="00EA2C0B"/>
    <w:rsid w:val="00EA535D"/>
    <w:rsid w:val="00EA7A41"/>
    <w:rsid w:val="00EB0096"/>
    <w:rsid w:val="00EB077B"/>
    <w:rsid w:val="00EB2FFC"/>
    <w:rsid w:val="00EB4EA2"/>
    <w:rsid w:val="00EC24D5"/>
    <w:rsid w:val="00EC27C6"/>
    <w:rsid w:val="00EC3A1A"/>
    <w:rsid w:val="00EC3BCF"/>
    <w:rsid w:val="00EC4207"/>
    <w:rsid w:val="00EC5653"/>
    <w:rsid w:val="00EC6EE4"/>
    <w:rsid w:val="00EC71CE"/>
    <w:rsid w:val="00ED012B"/>
    <w:rsid w:val="00ED0DAB"/>
    <w:rsid w:val="00ED1006"/>
    <w:rsid w:val="00ED18F9"/>
    <w:rsid w:val="00ED1C33"/>
    <w:rsid w:val="00ED3357"/>
    <w:rsid w:val="00ED359A"/>
    <w:rsid w:val="00ED36AD"/>
    <w:rsid w:val="00ED4D8B"/>
    <w:rsid w:val="00ED514A"/>
    <w:rsid w:val="00ED6C82"/>
    <w:rsid w:val="00ED7876"/>
    <w:rsid w:val="00EE204F"/>
    <w:rsid w:val="00EE300D"/>
    <w:rsid w:val="00EF0CA2"/>
    <w:rsid w:val="00EF18FE"/>
    <w:rsid w:val="00EF48C0"/>
    <w:rsid w:val="00EF5787"/>
    <w:rsid w:val="00EF60D0"/>
    <w:rsid w:val="00EF6A75"/>
    <w:rsid w:val="00F0528D"/>
    <w:rsid w:val="00F05B37"/>
    <w:rsid w:val="00F06C67"/>
    <w:rsid w:val="00F06DFD"/>
    <w:rsid w:val="00F071D1"/>
    <w:rsid w:val="00F07533"/>
    <w:rsid w:val="00F10629"/>
    <w:rsid w:val="00F127E0"/>
    <w:rsid w:val="00F14461"/>
    <w:rsid w:val="00F149DA"/>
    <w:rsid w:val="00F15FA5"/>
    <w:rsid w:val="00F16E9F"/>
    <w:rsid w:val="00F209B7"/>
    <w:rsid w:val="00F20F5C"/>
    <w:rsid w:val="00F2376F"/>
    <w:rsid w:val="00F243D8"/>
    <w:rsid w:val="00F25FDD"/>
    <w:rsid w:val="00F267E5"/>
    <w:rsid w:val="00F2689D"/>
    <w:rsid w:val="00F30828"/>
    <w:rsid w:val="00F30950"/>
    <w:rsid w:val="00F313D6"/>
    <w:rsid w:val="00F31DEB"/>
    <w:rsid w:val="00F3256E"/>
    <w:rsid w:val="00F3526B"/>
    <w:rsid w:val="00F35E15"/>
    <w:rsid w:val="00F40F0C"/>
    <w:rsid w:val="00F4170C"/>
    <w:rsid w:val="00F44D67"/>
    <w:rsid w:val="00F4766C"/>
    <w:rsid w:val="00F5003E"/>
    <w:rsid w:val="00F5060E"/>
    <w:rsid w:val="00F507D1"/>
    <w:rsid w:val="00F519CE"/>
    <w:rsid w:val="00F51ADA"/>
    <w:rsid w:val="00F53177"/>
    <w:rsid w:val="00F54CC5"/>
    <w:rsid w:val="00F550E5"/>
    <w:rsid w:val="00F56FA5"/>
    <w:rsid w:val="00F57CCC"/>
    <w:rsid w:val="00F60203"/>
    <w:rsid w:val="00F607C5"/>
    <w:rsid w:val="00F60DEA"/>
    <w:rsid w:val="00F6302A"/>
    <w:rsid w:val="00F63950"/>
    <w:rsid w:val="00F643AD"/>
    <w:rsid w:val="00F64C2B"/>
    <w:rsid w:val="00F651BE"/>
    <w:rsid w:val="00F6661E"/>
    <w:rsid w:val="00F67F53"/>
    <w:rsid w:val="00F703BE"/>
    <w:rsid w:val="00F71F69"/>
    <w:rsid w:val="00F720DE"/>
    <w:rsid w:val="00F72B72"/>
    <w:rsid w:val="00F74BB9"/>
    <w:rsid w:val="00F75582"/>
    <w:rsid w:val="00F767A0"/>
    <w:rsid w:val="00F76EFA"/>
    <w:rsid w:val="00F77C07"/>
    <w:rsid w:val="00F804BE"/>
    <w:rsid w:val="00F817CE"/>
    <w:rsid w:val="00F824FC"/>
    <w:rsid w:val="00F8456C"/>
    <w:rsid w:val="00F859D8"/>
    <w:rsid w:val="00F868F5"/>
    <w:rsid w:val="00F9056A"/>
    <w:rsid w:val="00F908D6"/>
    <w:rsid w:val="00F90AAE"/>
    <w:rsid w:val="00F90F36"/>
    <w:rsid w:val="00F90F8D"/>
    <w:rsid w:val="00F9251D"/>
    <w:rsid w:val="00F92782"/>
    <w:rsid w:val="00F92EA5"/>
    <w:rsid w:val="00F93AA9"/>
    <w:rsid w:val="00F93B50"/>
    <w:rsid w:val="00F93E7B"/>
    <w:rsid w:val="00F94A4B"/>
    <w:rsid w:val="00F95AEB"/>
    <w:rsid w:val="00F96985"/>
    <w:rsid w:val="00F97838"/>
    <w:rsid w:val="00F97A9F"/>
    <w:rsid w:val="00FA204E"/>
    <w:rsid w:val="00FA2BB3"/>
    <w:rsid w:val="00FB0D81"/>
    <w:rsid w:val="00FB4C80"/>
    <w:rsid w:val="00FB67E0"/>
    <w:rsid w:val="00FB6A6A"/>
    <w:rsid w:val="00FB7AB2"/>
    <w:rsid w:val="00FB7E48"/>
    <w:rsid w:val="00FC2E96"/>
    <w:rsid w:val="00FC3FA5"/>
    <w:rsid w:val="00FC467E"/>
    <w:rsid w:val="00FC7429"/>
    <w:rsid w:val="00FD07F6"/>
    <w:rsid w:val="00FD1EC8"/>
    <w:rsid w:val="00FD47ED"/>
    <w:rsid w:val="00FD6DBE"/>
    <w:rsid w:val="00FD74DB"/>
    <w:rsid w:val="00FD7660"/>
    <w:rsid w:val="00FD7EE7"/>
    <w:rsid w:val="00FE0655"/>
    <w:rsid w:val="00FE1A56"/>
    <w:rsid w:val="00FE1F82"/>
    <w:rsid w:val="00FE200E"/>
    <w:rsid w:val="00FE2365"/>
    <w:rsid w:val="00FE37D7"/>
    <w:rsid w:val="00FE4725"/>
    <w:rsid w:val="00FE4C7B"/>
    <w:rsid w:val="00FE5F79"/>
    <w:rsid w:val="00FE631C"/>
    <w:rsid w:val="00FE7336"/>
    <w:rsid w:val="00FE756E"/>
    <w:rsid w:val="00FE787C"/>
    <w:rsid w:val="00FF1687"/>
    <w:rsid w:val="00FF3471"/>
    <w:rsid w:val="00FF4072"/>
    <w:rsid w:val="00FF45A5"/>
    <w:rsid w:val="00FF5247"/>
    <w:rsid w:val="00FF5AE3"/>
    <w:rsid w:val="00FF5C91"/>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E870146-1249-4EFB-8B7D-91A86E5A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671485">
      <w:bodyDiv w:val="1"/>
      <w:marLeft w:val="0"/>
      <w:marRight w:val="0"/>
      <w:marTop w:val="0"/>
      <w:marBottom w:val="0"/>
      <w:divBdr>
        <w:top w:val="none" w:sz="0" w:space="0" w:color="auto"/>
        <w:left w:val="none" w:sz="0" w:space="0" w:color="auto"/>
        <w:bottom w:val="none" w:sz="0" w:space="0" w:color="auto"/>
        <w:right w:val="none" w:sz="0" w:space="0" w:color="auto"/>
      </w:divBdr>
    </w:div>
    <w:div w:id="945622715">
      <w:bodyDiv w:val="1"/>
      <w:marLeft w:val="0"/>
      <w:marRight w:val="0"/>
      <w:marTop w:val="0"/>
      <w:marBottom w:val="0"/>
      <w:divBdr>
        <w:top w:val="none" w:sz="0" w:space="0" w:color="auto"/>
        <w:left w:val="none" w:sz="0" w:space="0" w:color="auto"/>
        <w:bottom w:val="none" w:sz="0" w:space="0" w:color="auto"/>
        <w:right w:val="none" w:sz="0" w:space="0" w:color="auto"/>
      </w:divBdr>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827669811">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4897B-391E-499A-9D42-2592C0D6F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85D9689-81B9-4B00-8D42-E8383ED5D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2151</Words>
  <Characters>11401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13525</CharactersWithSpaces>
  <SharedDoc>false</SharedDoc>
  <HLinks>
    <vt:vector size="66" baseType="variant">
      <vt:variant>
        <vt:i4>1769525</vt:i4>
      </vt:variant>
      <vt:variant>
        <vt:i4>44</vt:i4>
      </vt:variant>
      <vt:variant>
        <vt:i4>0</vt:i4>
      </vt:variant>
      <vt:variant>
        <vt:i4>5</vt:i4>
      </vt:variant>
      <vt:variant>
        <vt:lpwstr/>
      </vt:variant>
      <vt:variant>
        <vt:lpwstr>_Toc47632058</vt:lpwstr>
      </vt:variant>
      <vt:variant>
        <vt:i4>1310773</vt:i4>
      </vt:variant>
      <vt:variant>
        <vt:i4>41</vt:i4>
      </vt:variant>
      <vt:variant>
        <vt:i4>0</vt:i4>
      </vt:variant>
      <vt:variant>
        <vt:i4>5</vt:i4>
      </vt:variant>
      <vt:variant>
        <vt:lpwstr/>
      </vt:variant>
      <vt:variant>
        <vt:lpwstr>_Toc47632057</vt:lpwstr>
      </vt:variant>
      <vt:variant>
        <vt:i4>1376309</vt:i4>
      </vt:variant>
      <vt:variant>
        <vt:i4>38</vt:i4>
      </vt:variant>
      <vt:variant>
        <vt:i4>0</vt:i4>
      </vt:variant>
      <vt:variant>
        <vt:i4>5</vt:i4>
      </vt:variant>
      <vt:variant>
        <vt:lpwstr/>
      </vt:variant>
      <vt:variant>
        <vt:lpwstr>_Toc47632056</vt:lpwstr>
      </vt:variant>
      <vt:variant>
        <vt:i4>1441845</vt:i4>
      </vt:variant>
      <vt:variant>
        <vt:i4>35</vt:i4>
      </vt:variant>
      <vt:variant>
        <vt:i4>0</vt:i4>
      </vt:variant>
      <vt:variant>
        <vt:i4>5</vt:i4>
      </vt:variant>
      <vt:variant>
        <vt:lpwstr/>
      </vt:variant>
      <vt:variant>
        <vt:lpwstr>_Toc47632055</vt:lpwstr>
      </vt:variant>
      <vt:variant>
        <vt:i4>1507381</vt:i4>
      </vt:variant>
      <vt:variant>
        <vt:i4>32</vt:i4>
      </vt:variant>
      <vt:variant>
        <vt:i4>0</vt:i4>
      </vt:variant>
      <vt:variant>
        <vt:i4>5</vt:i4>
      </vt:variant>
      <vt:variant>
        <vt:lpwstr/>
      </vt:variant>
      <vt:variant>
        <vt:lpwstr>_Toc47632054</vt:lpwstr>
      </vt:variant>
      <vt:variant>
        <vt:i4>1048629</vt:i4>
      </vt:variant>
      <vt:variant>
        <vt:i4>26</vt:i4>
      </vt:variant>
      <vt:variant>
        <vt:i4>0</vt:i4>
      </vt:variant>
      <vt:variant>
        <vt:i4>5</vt:i4>
      </vt:variant>
      <vt:variant>
        <vt:lpwstr/>
      </vt:variant>
      <vt:variant>
        <vt:lpwstr>_Toc47632053</vt:lpwstr>
      </vt:variant>
      <vt:variant>
        <vt:i4>1114165</vt:i4>
      </vt:variant>
      <vt:variant>
        <vt:i4>23</vt:i4>
      </vt:variant>
      <vt:variant>
        <vt:i4>0</vt:i4>
      </vt:variant>
      <vt:variant>
        <vt:i4>5</vt:i4>
      </vt:variant>
      <vt:variant>
        <vt:lpwstr/>
      </vt:variant>
      <vt:variant>
        <vt:lpwstr>_Toc47632052</vt:lpwstr>
      </vt:variant>
      <vt:variant>
        <vt:i4>1179701</vt:i4>
      </vt:variant>
      <vt:variant>
        <vt:i4>20</vt:i4>
      </vt:variant>
      <vt:variant>
        <vt:i4>0</vt:i4>
      </vt:variant>
      <vt:variant>
        <vt:i4>5</vt:i4>
      </vt:variant>
      <vt:variant>
        <vt:lpwstr/>
      </vt:variant>
      <vt:variant>
        <vt:lpwstr>_Toc47632051</vt:lpwstr>
      </vt:variant>
      <vt:variant>
        <vt:i4>1245237</vt:i4>
      </vt:variant>
      <vt:variant>
        <vt:i4>17</vt:i4>
      </vt:variant>
      <vt:variant>
        <vt:i4>0</vt:i4>
      </vt:variant>
      <vt:variant>
        <vt:i4>5</vt:i4>
      </vt:variant>
      <vt:variant>
        <vt:lpwstr/>
      </vt:variant>
      <vt:variant>
        <vt:lpwstr>_Toc47632050</vt:lpwstr>
      </vt:variant>
      <vt:variant>
        <vt:i4>1703988</vt:i4>
      </vt:variant>
      <vt:variant>
        <vt:i4>14</vt:i4>
      </vt:variant>
      <vt:variant>
        <vt:i4>0</vt:i4>
      </vt:variant>
      <vt:variant>
        <vt:i4>5</vt:i4>
      </vt:variant>
      <vt:variant>
        <vt:lpwstr/>
      </vt:variant>
      <vt:variant>
        <vt:lpwstr>_Toc47632049</vt:lpwstr>
      </vt:variant>
      <vt:variant>
        <vt:i4>1769524</vt:i4>
      </vt:variant>
      <vt:variant>
        <vt:i4>11</vt:i4>
      </vt:variant>
      <vt:variant>
        <vt:i4>0</vt:i4>
      </vt:variant>
      <vt:variant>
        <vt:i4>5</vt:i4>
      </vt:variant>
      <vt:variant>
        <vt:lpwstr/>
      </vt:variant>
      <vt:variant>
        <vt:lpwstr>_Toc47632048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128</cp:revision>
  <cp:lastPrinted>2008-01-31T07:09:00Z</cp:lastPrinted>
  <dcterms:created xsi:type="dcterms:W3CDTF">2020-08-06T17:09:00Z</dcterms:created>
  <dcterms:modified xsi:type="dcterms:W3CDTF">2020-08-06T21:00:00Z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